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7D" w:rsidRPr="00E71012" w:rsidRDefault="00A3267D" w:rsidP="00A3267D">
      <w:pPr>
        <w:autoSpaceDE w:val="0"/>
        <w:autoSpaceDN w:val="0"/>
        <w:adjustRightInd w:val="0"/>
        <w:ind w:right="-360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A3267D" w:rsidRPr="00E71012" w:rsidRDefault="00A3267D" w:rsidP="00A3267D">
      <w:pPr>
        <w:autoSpaceDE w:val="0"/>
        <w:autoSpaceDN w:val="0"/>
        <w:adjustRightInd w:val="0"/>
        <w:ind w:right="-360"/>
        <w:jc w:val="center"/>
        <w:rPr>
          <w:rFonts w:ascii="Arial Narrow" w:hAnsi="Arial Narrow"/>
          <w:b/>
        </w:rPr>
      </w:pPr>
      <w:r w:rsidRPr="00E71012">
        <w:rPr>
          <w:rFonts w:ascii="Arial Narrow" w:hAnsi="Arial Narrow"/>
          <w:b/>
        </w:rPr>
        <w:t>RF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STANDARD</w:t>
      </w:r>
    </w:p>
    <w:p w:rsidR="00A3267D" w:rsidRPr="00E71012" w:rsidRDefault="00A3267D" w:rsidP="00A3267D">
      <w:pPr>
        <w:autoSpaceDE w:val="0"/>
        <w:autoSpaceDN w:val="0"/>
        <w:adjustRightInd w:val="0"/>
        <w:ind w:right="-360"/>
        <w:jc w:val="center"/>
        <w:rPr>
          <w:rFonts w:ascii="Arial Narrow" w:hAnsi="Arial Narrow"/>
          <w:b/>
        </w:rPr>
      </w:pPr>
      <w:r w:rsidRPr="00E71012">
        <w:rPr>
          <w:rFonts w:ascii="Arial Narrow" w:hAnsi="Arial Narrow"/>
          <w:b/>
        </w:rPr>
        <w:t>LIMITED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LIABILITY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COMPANY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OPERATING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AGREEMENT</w:t>
      </w:r>
    </w:p>
    <w:p w:rsidR="00A3267D" w:rsidRPr="00E71012" w:rsidRDefault="00A3267D" w:rsidP="00A3267D">
      <w:pPr>
        <w:autoSpaceDE w:val="0"/>
        <w:autoSpaceDN w:val="0"/>
        <w:adjustRightInd w:val="0"/>
        <w:ind w:right="-360"/>
        <w:jc w:val="center"/>
        <w:rPr>
          <w:rFonts w:ascii="Arial Narrow" w:hAnsi="Arial Narrow"/>
          <w:b/>
        </w:rPr>
      </w:pPr>
      <w:r w:rsidRPr="00E71012">
        <w:rPr>
          <w:rFonts w:ascii="Arial Narrow" w:hAnsi="Arial Narrow"/>
          <w:b/>
        </w:rPr>
        <w:t>FOR</w:t>
      </w:r>
    </w:p>
    <w:p w:rsidR="00A3267D" w:rsidRPr="00E71012" w:rsidRDefault="00A3267D" w:rsidP="00A3267D">
      <w:pPr>
        <w:autoSpaceDE w:val="0"/>
        <w:autoSpaceDN w:val="0"/>
        <w:adjustRightInd w:val="0"/>
        <w:ind w:right="-360"/>
        <w:jc w:val="center"/>
        <w:rPr>
          <w:rFonts w:ascii="Arial Narrow" w:hAnsi="Arial Narrow"/>
          <w:b/>
        </w:rPr>
      </w:pPr>
      <w:r w:rsidRPr="00E71012">
        <w:rPr>
          <w:rFonts w:ascii="Arial Narrow" w:hAnsi="Arial Narrow"/>
          <w:b/>
        </w:rPr>
        <w:t>LICENSING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TRANSACTIONS</w:t>
      </w:r>
    </w:p>
    <w:p w:rsidR="00A3267D" w:rsidRPr="00E71012" w:rsidRDefault="00A3267D" w:rsidP="00A3267D">
      <w:pPr>
        <w:jc w:val="both"/>
        <w:rPr>
          <w:rFonts w:ascii="Arial Narrow" w:hAnsi="Arial Narrow"/>
          <w:caps/>
          <w:szCs w:val="24"/>
          <w:highlight w:val="yellow"/>
        </w:rPr>
      </w:pPr>
    </w:p>
    <w:p w:rsidR="00A3267D" w:rsidRPr="00E71012" w:rsidRDefault="00A3267D" w:rsidP="00A3267D">
      <w:pPr>
        <w:ind w:left="720"/>
        <w:jc w:val="both"/>
        <w:rPr>
          <w:rFonts w:ascii="Arial Narrow" w:hAnsi="Arial Narrow"/>
          <w:caps/>
          <w:szCs w:val="24"/>
          <w:highlight w:val="yellow"/>
        </w:rPr>
      </w:pPr>
    </w:p>
    <w:p w:rsidR="00A3267D" w:rsidRPr="00E71012" w:rsidRDefault="00A3267D" w:rsidP="00A3267D">
      <w:pPr>
        <w:ind w:left="720"/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caps/>
          <w:szCs w:val="24"/>
          <w:highlight w:val="yellow"/>
        </w:rPr>
        <w:t>[GENERAL</w:t>
      </w:r>
      <w:r w:rsidR="00C44768">
        <w:rPr>
          <w:rFonts w:ascii="Arial Narrow" w:hAnsi="Arial Narrow"/>
          <w:caps/>
          <w:szCs w:val="24"/>
          <w:highlight w:val="yellow"/>
        </w:rPr>
        <w:t xml:space="preserve"> </w:t>
      </w:r>
      <w:r w:rsidRPr="00E71012">
        <w:rPr>
          <w:rFonts w:ascii="Arial Narrow" w:hAnsi="Arial Narrow"/>
          <w:caps/>
          <w:szCs w:val="24"/>
          <w:highlight w:val="yellow"/>
        </w:rPr>
        <w:t>INSTRUCTIONS:</w:t>
      </w:r>
    </w:p>
    <w:p w:rsidR="00A3267D" w:rsidRPr="00E71012" w:rsidRDefault="00A3267D" w:rsidP="00A3267D">
      <w:pPr>
        <w:numPr>
          <w:ilvl w:val="0"/>
          <w:numId w:val="2"/>
        </w:numPr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investment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membership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Technology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License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formed.</w:t>
      </w:r>
    </w:p>
    <w:p w:rsidR="00A3267D" w:rsidRPr="00E71012" w:rsidRDefault="00A3267D" w:rsidP="00A3267D">
      <w:pPr>
        <w:numPr>
          <w:ilvl w:val="0"/>
          <w:numId w:val="2"/>
        </w:numPr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already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conformed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closely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possible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</w:t>
      </w:r>
      <w:r w:rsidR="00E71012">
        <w:rPr>
          <w:rFonts w:ascii="Arial Narrow" w:hAnsi="Arial Narrow"/>
          <w:szCs w:val="24"/>
        </w:rPr>
        <w:t>ms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numPr>
          <w:ilvl w:val="0"/>
          <w:numId w:val="2"/>
        </w:numPr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szCs w:val="24"/>
        </w:rPr>
        <w:t>Do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changes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advised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General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Counsel.</w:t>
      </w:r>
    </w:p>
    <w:p w:rsidR="00A3267D" w:rsidRPr="00E71012" w:rsidRDefault="00A3267D" w:rsidP="00A3267D">
      <w:pPr>
        <w:numPr>
          <w:ilvl w:val="0"/>
          <w:numId w:val="2"/>
        </w:numPr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caps/>
          <w:szCs w:val="24"/>
        </w:rPr>
        <w:t>d</w:t>
      </w:r>
      <w:r w:rsidRPr="00E71012">
        <w:rPr>
          <w:rFonts w:ascii="Arial Narrow" w:hAnsi="Arial Narrow"/>
          <w:szCs w:val="24"/>
        </w:rPr>
        <w:t>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circulate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instructions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highlighted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yellow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footnotes.</w:t>
      </w:r>
    </w:p>
    <w:p w:rsidR="00A3267D" w:rsidRPr="00E71012" w:rsidRDefault="00A3267D" w:rsidP="00A3267D">
      <w:pPr>
        <w:numPr>
          <w:ilvl w:val="0"/>
          <w:numId w:val="2"/>
        </w:numPr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szCs w:val="24"/>
        </w:rPr>
        <w:t>Do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blanks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highlighted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yellow</w:t>
      </w: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numPr>
          <w:ilvl w:val="0"/>
          <w:numId w:val="2"/>
        </w:numPr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caps/>
          <w:szCs w:val="24"/>
        </w:rPr>
        <w:t>D</w:t>
      </w:r>
      <w:r w:rsidRPr="00E71012">
        <w:rPr>
          <w:rFonts w:ascii="Arial Narrow" w:hAnsi="Arial Narrow"/>
          <w:szCs w:val="24"/>
        </w:rPr>
        <w:t>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check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throughout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document.</w:t>
      </w:r>
    </w:p>
    <w:p w:rsidR="00A3267D" w:rsidRPr="00E71012" w:rsidRDefault="00A3267D" w:rsidP="00A3267D">
      <w:pPr>
        <w:numPr>
          <w:ilvl w:val="0"/>
          <w:numId w:val="2"/>
        </w:numPr>
        <w:jc w:val="both"/>
        <w:rPr>
          <w:rFonts w:ascii="Arial Narrow" w:hAnsi="Arial Narrow"/>
          <w:caps/>
          <w:szCs w:val="24"/>
          <w:highlight w:val="yellow"/>
        </w:rPr>
      </w:pPr>
      <w:r w:rsidRPr="00E71012">
        <w:rPr>
          <w:rFonts w:ascii="Arial Narrow" w:hAnsi="Arial Narrow"/>
          <w:szCs w:val="24"/>
        </w:rPr>
        <w:t>Do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complete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Schedule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information.</w:t>
      </w:r>
    </w:p>
    <w:p w:rsidR="00A3267D" w:rsidRPr="00E71012" w:rsidRDefault="00A3267D" w:rsidP="00A3267D">
      <w:pPr>
        <w:jc w:val="both"/>
        <w:rPr>
          <w:rFonts w:ascii="Arial Narrow" w:hAnsi="Arial Narrow"/>
          <w:caps/>
          <w:szCs w:val="24"/>
          <w:highlight w:val="yellow"/>
        </w:rPr>
      </w:pPr>
    </w:p>
    <w:p w:rsidR="00A3267D" w:rsidRPr="00E71012" w:rsidRDefault="00A3267D" w:rsidP="00A3267D">
      <w:pPr>
        <w:suppressAutoHyphens/>
        <w:spacing w:before="3000" w:after="240"/>
        <w:jc w:val="center"/>
        <w:rPr>
          <w:rFonts w:ascii="Arial Narrow" w:hAnsi="Arial Narrow"/>
          <w:b/>
          <w:szCs w:val="24"/>
        </w:rPr>
      </w:pPr>
    </w:p>
    <w:p w:rsidR="00A3267D" w:rsidRPr="00E71012" w:rsidRDefault="00A3267D" w:rsidP="00A3267D">
      <w:pPr>
        <w:suppressAutoHyphens/>
        <w:spacing w:before="3000" w:after="240"/>
        <w:jc w:val="center"/>
        <w:rPr>
          <w:rFonts w:ascii="Arial Narrow" w:hAnsi="Arial Narrow"/>
          <w:b/>
          <w:szCs w:val="24"/>
        </w:rPr>
      </w:pPr>
    </w:p>
    <w:p w:rsidR="00A3267D" w:rsidRPr="00E71012" w:rsidRDefault="00A3267D" w:rsidP="00A3267D">
      <w:pPr>
        <w:suppressAutoHyphens/>
        <w:spacing w:before="3000" w:after="240"/>
        <w:jc w:val="center"/>
        <w:rPr>
          <w:rFonts w:ascii="Arial Narrow" w:hAnsi="Arial Narrow"/>
          <w:b/>
          <w:szCs w:val="24"/>
        </w:rPr>
      </w:pPr>
      <w:r w:rsidRPr="00E71012">
        <w:rPr>
          <w:rFonts w:ascii="Arial Narrow" w:hAnsi="Arial Narrow"/>
          <w:b/>
          <w:szCs w:val="24"/>
        </w:rPr>
        <w:t>O</w:t>
      </w:r>
      <w:r w:rsidRPr="00E71012">
        <w:rPr>
          <w:rFonts w:ascii="Arial Narrow" w:hAnsi="Arial Narrow"/>
          <w:b/>
          <w:smallCaps/>
          <w:szCs w:val="24"/>
        </w:rPr>
        <w:t>PERATING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</w:t>
      </w:r>
      <w:r w:rsidRPr="00E71012">
        <w:rPr>
          <w:rFonts w:ascii="Arial Narrow" w:hAnsi="Arial Narrow"/>
          <w:b/>
          <w:smallCaps/>
          <w:szCs w:val="24"/>
        </w:rPr>
        <w:t>GREEMENT</w:t>
      </w:r>
      <w:r w:rsidR="00C44768">
        <w:rPr>
          <w:rFonts w:ascii="Arial Narrow" w:hAnsi="Arial Narrow"/>
          <w:b/>
          <w:smallCaps/>
          <w:szCs w:val="24"/>
        </w:rPr>
        <w:t xml:space="preserve"> </w:t>
      </w:r>
      <w:r w:rsidRPr="00E71012">
        <w:rPr>
          <w:rFonts w:ascii="Arial Narrow" w:hAnsi="Arial Narrow"/>
          <w:b/>
          <w:smallCaps/>
          <w:szCs w:val="24"/>
        </w:rPr>
        <w:t>OF</w:t>
      </w:r>
    </w:p>
    <w:p w:rsidR="00A3267D" w:rsidRPr="00E71012" w:rsidRDefault="00A3267D" w:rsidP="00A3267D">
      <w:pPr>
        <w:suppressAutoHyphens/>
        <w:spacing w:after="480"/>
        <w:jc w:val="center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t>[INSERT: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Full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name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of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limited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liability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company]</w:t>
      </w:r>
    </w:p>
    <w:p w:rsidR="00A3267D" w:rsidRPr="00E71012" w:rsidRDefault="00A3267D" w:rsidP="00A3267D">
      <w:pPr>
        <w:suppressAutoHyphens/>
        <w:spacing w:after="480"/>
        <w:jc w:val="center"/>
        <w:rPr>
          <w:rFonts w:ascii="Arial Narrow" w:hAnsi="Arial Narrow"/>
          <w:b/>
          <w:smallCaps/>
          <w:szCs w:val="24"/>
        </w:rPr>
      </w:pPr>
      <w:r w:rsidRPr="00E71012">
        <w:rPr>
          <w:rFonts w:ascii="Arial Narrow" w:hAnsi="Arial Narrow"/>
          <w:b/>
          <w:szCs w:val="24"/>
        </w:rPr>
        <w:t>A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NEW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YORK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L</w:t>
      </w:r>
      <w:r w:rsidRPr="00E71012">
        <w:rPr>
          <w:rFonts w:ascii="Arial Narrow" w:hAnsi="Arial Narrow"/>
          <w:b/>
          <w:smallCaps/>
          <w:szCs w:val="24"/>
        </w:rPr>
        <w:t>IMITED</w:t>
      </w:r>
      <w:r w:rsidR="00C44768">
        <w:rPr>
          <w:rFonts w:ascii="Arial Narrow" w:hAnsi="Arial Narrow"/>
          <w:b/>
          <w:smallCaps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L</w:t>
      </w:r>
      <w:r w:rsidRPr="00E71012">
        <w:rPr>
          <w:rFonts w:ascii="Arial Narrow" w:hAnsi="Arial Narrow"/>
          <w:b/>
          <w:smallCaps/>
          <w:szCs w:val="24"/>
        </w:rPr>
        <w:t>IABILITY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C</w:t>
      </w:r>
      <w:r w:rsidRPr="00E71012">
        <w:rPr>
          <w:rFonts w:ascii="Arial Narrow" w:hAnsi="Arial Narrow"/>
          <w:b/>
          <w:smallCaps/>
          <w:szCs w:val="24"/>
        </w:rPr>
        <w:t>OMPANY</w:t>
      </w:r>
    </w:p>
    <w:p w:rsidR="00A3267D" w:rsidRPr="00E71012" w:rsidRDefault="00A3267D" w:rsidP="00A3267D">
      <w:pPr>
        <w:suppressAutoHyphens/>
        <w:spacing w:before="1500" w:after="480"/>
        <w:jc w:val="center"/>
        <w:rPr>
          <w:rFonts w:ascii="Arial Narrow" w:hAnsi="Arial Narrow"/>
          <w:b/>
          <w:smallCaps/>
          <w:szCs w:val="24"/>
        </w:rPr>
      </w:pPr>
      <w:r w:rsidRPr="00E71012">
        <w:rPr>
          <w:rFonts w:ascii="Arial Narrow" w:hAnsi="Arial Narrow"/>
          <w:b/>
          <w:smallCaps/>
          <w:szCs w:val="24"/>
        </w:rPr>
        <w:t>Dated</w:t>
      </w:r>
      <w:r w:rsidR="00C44768">
        <w:rPr>
          <w:rFonts w:ascii="Arial Narrow" w:hAnsi="Arial Narrow"/>
          <w:b/>
          <w:smallCaps/>
          <w:szCs w:val="24"/>
        </w:rPr>
        <w:t xml:space="preserve"> </w:t>
      </w:r>
      <w:r w:rsidRPr="00E71012">
        <w:rPr>
          <w:rFonts w:ascii="Arial Narrow" w:hAnsi="Arial Narrow"/>
          <w:b/>
          <w:smallCaps/>
          <w:szCs w:val="24"/>
          <w:highlight w:val="yellow"/>
        </w:rPr>
        <w:t>[_____________]</w:t>
      </w:r>
      <w:r w:rsidRPr="00E71012">
        <w:rPr>
          <w:rFonts w:ascii="Arial Narrow" w:hAnsi="Arial Narrow"/>
          <w:b/>
          <w:smallCaps/>
          <w:szCs w:val="24"/>
        </w:rPr>
        <w:t>,</w:t>
      </w:r>
      <w:r w:rsidR="00C44768">
        <w:rPr>
          <w:rFonts w:ascii="Arial Narrow" w:hAnsi="Arial Narrow"/>
          <w:b/>
          <w:smallCaps/>
          <w:szCs w:val="24"/>
        </w:rPr>
        <w:t xml:space="preserve"> </w:t>
      </w:r>
      <w:r w:rsidRPr="00E71012">
        <w:rPr>
          <w:rFonts w:ascii="Arial Narrow" w:hAnsi="Arial Narrow"/>
          <w:b/>
          <w:smallCaps/>
          <w:szCs w:val="24"/>
        </w:rPr>
        <w:t>20</w:t>
      </w:r>
      <w:r w:rsidRPr="00E71012">
        <w:rPr>
          <w:rFonts w:ascii="Arial Narrow" w:hAnsi="Arial Narrow"/>
          <w:b/>
          <w:smallCaps/>
          <w:szCs w:val="24"/>
          <w:highlight w:val="yellow"/>
        </w:rPr>
        <w:t>[__]</w:t>
      </w:r>
    </w:p>
    <w:p w:rsidR="00A3267D" w:rsidRPr="00E71012" w:rsidRDefault="00A3267D" w:rsidP="00A3267D">
      <w:pPr>
        <w:suppressAutoHyphens/>
        <w:spacing w:after="480"/>
        <w:jc w:val="center"/>
        <w:rPr>
          <w:rFonts w:ascii="Arial Narrow" w:hAnsi="Arial Narrow"/>
          <w:b/>
          <w:smallCaps/>
          <w:szCs w:val="24"/>
        </w:rPr>
        <w:sectPr w:rsidR="00A3267D" w:rsidRPr="00E71012">
          <w:headerReference w:type="default" r:id="rId7"/>
          <w:footerReference w:type="default" r:id="rId8"/>
          <w:footerReference w:type="firs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3267D" w:rsidRPr="00E71012" w:rsidRDefault="00A3267D" w:rsidP="00A3267D">
      <w:pPr>
        <w:suppressAutoHyphens/>
        <w:spacing w:after="240"/>
        <w:jc w:val="center"/>
        <w:outlineLvl w:val="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b/>
          <w:szCs w:val="24"/>
        </w:rPr>
        <w:lastRenderedPageBreak/>
        <w:t>OPERATING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AGREEMENT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[INSERT: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Full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name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of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limited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liability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company]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[____]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[_____________]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20</w:t>
      </w:r>
      <w:r w:rsidRPr="00E71012">
        <w:rPr>
          <w:rFonts w:ascii="Arial Narrow" w:hAnsi="Arial Narrow"/>
          <w:szCs w:val="24"/>
          <w:highlight w:val="yellow"/>
        </w:rPr>
        <w:t>[__]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</w:p>
    <w:p w:rsidR="00A3267D" w:rsidRPr="00E71012" w:rsidRDefault="00A3267D" w:rsidP="00A3267D">
      <w:pPr>
        <w:pStyle w:val="BodyText"/>
        <w:jc w:val="center"/>
        <w:rPr>
          <w:rFonts w:ascii="Arial Narrow" w:hAnsi="Arial Narrow"/>
          <w:b/>
          <w:szCs w:val="24"/>
        </w:rPr>
      </w:pPr>
      <w:r w:rsidRPr="00E71012">
        <w:rPr>
          <w:rFonts w:ascii="Arial Narrow" w:hAnsi="Arial Narrow"/>
          <w:b/>
          <w:szCs w:val="24"/>
        </w:rPr>
        <w:t>BACKGROUND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t>[Tailor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this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section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to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reflect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actual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background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of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deal.]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A.</w:t>
      </w:r>
      <w:r w:rsidRPr="00E71012">
        <w:rPr>
          <w:rFonts w:ascii="Arial Narrow" w:hAnsi="Arial Narrow"/>
          <w:szCs w:val="24"/>
        </w:rPr>
        <w:tab/>
        <w:t>Concurrently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Research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University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behalf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[___________________]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nonprofit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corporation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(“</w:t>
      </w:r>
      <w:r w:rsidRPr="00E71012">
        <w:rPr>
          <w:rFonts w:ascii="Arial Narrow" w:hAnsi="Arial Narrow"/>
          <w:b/>
          <w:szCs w:val="24"/>
        </w:rPr>
        <w:t>Foundation</w:t>
      </w:r>
      <w:r w:rsidRPr="00E71012">
        <w:rPr>
          <w:rFonts w:ascii="Arial Narrow" w:hAnsi="Arial Narrow"/>
          <w:szCs w:val="24"/>
        </w:rPr>
        <w:t>”),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Technology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License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[____________]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20</w:t>
      </w:r>
      <w:r w:rsidRPr="00E71012">
        <w:rPr>
          <w:rFonts w:ascii="Arial Narrow" w:hAnsi="Arial Narrow"/>
          <w:szCs w:val="24"/>
          <w:highlight w:val="yellow"/>
        </w:rPr>
        <w:t>[__]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License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Agreement”</w:t>
      </w:r>
      <w:r w:rsidRPr="00E71012">
        <w:rPr>
          <w:rFonts w:ascii="Arial Narrow" w:hAnsi="Arial Narrow"/>
          <w:szCs w:val="24"/>
        </w:rPr>
        <w:t>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licensing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certain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technology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owned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Foundation.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B.</w:t>
      </w:r>
      <w:r w:rsidRPr="00E71012">
        <w:rPr>
          <w:rFonts w:ascii="Arial Narrow" w:hAnsi="Arial Narrow"/>
          <w:szCs w:val="24"/>
        </w:rPr>
        <w:tab/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consideration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License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C.</w:t>
      </w:r>
      <w:r w:rsidRPr="00E71012">
        <w:rPr>
          <w:rFonts w:ascii="Arial Narrow" w:hAnsi="Arial Narrow"/>
          <w:szCs w:val="24"/>
        </w:rPr>
        <w:tab/>
        <w:t>Concurrently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[____________]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20</w:t>
      </w:r>
      <w:r w:rsidRPr="00E71012">
        <w:rPr>
          <w:rFonts w:ascii="Arial Narrow" w:hAnsi="Arial Narrow"/>
          <w:szCs w:val="24"/>
          <w:highlight w:val="yellow"/>
        </w:rPr>
        <w:t>[__]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Units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Purchase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Agreement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consideration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License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D.</w:t>
      </w:r>
      <w:r w:rsidRPr="00E71012">
        <w:rPr>
          <w:rFonts w:ascii="Arial Narrow" w:hAnsi="Arial Narrow"/>
          <w:szCs w:val="24"/>
        </w:rPr>
        <w:tab/>
        <w:t>NOW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THEREFORE,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consideration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mutual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promises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covenants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legally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bound,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follows:</w:t>
      </w: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DEFINITIONS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indicated,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elsewhere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Agreement: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Adjusted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Capital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Account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Deficit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balance,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relevant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year,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adjustments: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credit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next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sentences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1.704-2(g)(1)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changes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1.704-1(b)(2)(ii)(d)(4),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(6)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foregoing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1.704-1(b)(2)(ii)(d)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interpreted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consistently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therewith.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Articles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of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Organization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Board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IV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Book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Depreciation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amortization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allowable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differs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beginning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difference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eliminated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“remedial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method”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1.704-3(d)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rules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1.704-3(d)(2)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differs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beginning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bears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ratio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beginning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amortization,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bears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beginning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above,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beginning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zero,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beginning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method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Managers.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Book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Gain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or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Book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Loss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exchanges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Book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Value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Agreement:</w:t>
      </w:r>
    </w:p>
    <w:p w:rsidR="00A3267D" w:rsidRPr="00E71012" w:rsidRDefault="00A3267D" w:rsidP="00A3267D">
      <w:pPr>
        <w:pStyle w:val="BodyText"/>
        <w:ind w:left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(a)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initial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contribution;</w:t>
      </w:r>
    </w:p>
    <w:p w:rsidR="00A3267D" w:rsidRPr="00E71012" w:rsidRDefault="00A3267D" w:rsidP="00A3267D">
      <w:pPr>
        <w:pStyle w:val="BodyText"/>
        <w:ind w:left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lastRenderedPageBreak/>
        <w:t>(b)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liquidation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1.704-1(b)(2)(ii)(g)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appropriate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ensure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economic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interests;</w:t>
      </w:r>
    </w:p>
    <w:p w:rsidR="00A3267D" w:rsidRPr="00E71012" w:rsidRDefault="00A3267D" w:rsidP="00A3267D">
      <w:pPr>
        <w:pStyle w:val="BodyText"/>
        <w:ind w:left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(c)</w:t>
      </w:r>
      <w:r w:rsidRPr="00E71012">
        <w:rPr>
          <w:rFonts w:ascii="Arial Narrow" w:hAnsi="Arial Narrow"/>
          <w:szCs w:val="24"/>
        </w:rPr>
        <w:tab/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(taking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7701(g)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distribution;</w:t>
      </w:r>
    </w:p>
    <w:p w:rsidR="00A3267D" w:rsidRPr="00E71012" w:rsidRDefault="00A3267D" w:rsidP="00A3267D">
      <w:pPr>
        <w:pStyle w:val="BodyText"/>
        <w:ind w:left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(d)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grant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consideration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services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benefit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existing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capacity,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capacity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anticipation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becoming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</w:p>
    <w:p w:rsidR="00A3267D" w:rsidRPr="00E71012" w:rsidRDefault="00A3267D" w:rsidP="00A3267D">
      <w:pPr>
        <w:pStyle w:val="BodyText"/>
        <w:ind w:left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(e)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increased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decreased)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734(b)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743(b),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1.704-1(b)(2)(iv)(m)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(f)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Losses”;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connection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(e).</w:t>
      </w:r>
    </w:p>
    <w:p w:rsidR="00A3267D" w:rsidRPr="00E71012" w:rsidRDefault="00A3267D" w:rsidP="00A3267D">
      <w:pPr>
        <w:pStyle w:val="BodyText"/>
        <w:ind w:left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(f)</w:t>
      </w:r>
      <w:r w:rsidRPr="00E71012">
        <w:rPr>
          <w:rFonts w:ascii="Arial Narrow" w:hAnsi="Arial Narrow"/>
          <w:szCs w:val="24"/>
        </w:rPr>
        <w:tab/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(d),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1.704-1(b)(2)(iv)(g)(3)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Capital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Account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market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Distributions.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Capital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Contributions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money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market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2.06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lastRenderedPageBreak/>
        <w:t>“</w:t>
      </w:r>
      <w:r w:rsidRPr="00E71012">
        <w:rPr>
          <w:rFonts w:ascii="Arial Narrow" w:hAnsi="Arial Narrow"/>
          <w:b/>
          <w:szCs w:val="24"/>
        </w:rPr>
        <w:t>Cash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Available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for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Distribution”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borrowings,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available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good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faith,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considering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needs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profits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flow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projected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generated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borrowing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reductions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establish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reserves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contingencies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criteria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appropriate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circumstances.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Code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Revenue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1986,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time-to-time,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corresponding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promulgated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thereunder.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Company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[_____________________]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limited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Company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Minimum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Gain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1.704-2(b)(2)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Director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102(p)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Distribution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money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capacity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market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Fiscal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Period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[January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1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to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December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31]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existence.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L.L.C.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Law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Member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Minimum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Gain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1.704-2(c)(i)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Member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Nonrecourse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Debt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1.704-2(b)(4)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Member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Nonrecourse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Debt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Minimum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Gain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1.704-2(i)(3)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Member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Nonrecourse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Deductions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1.704-(2)(i)(2)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Members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Net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Income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Net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Losses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year,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703(a)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(and,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separately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703(a)(1)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adjustments:</w:t>
      </w:r>
    </w:p>
    <w:p w:rsidR="00A3267D" w:rsidRPr="00E71012" w:rsidRDefault="00A3267D" w:rsidP="00A3267D">
      <w:pPr>
        <w:spacing w:after="240"/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(a)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exempt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loss;</w:t>
      </w:r>
    </w:p>
    <w:p w:rsidR="00A3267D" w:rsidRPr="00E71012" w:rsidRDefault="00A3267D" w:rsidP="00A3267D">
      <w:pPr>
        <w:spacing w:after="240"/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(b)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expenditures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)(2)(B)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705(a)(2)(B)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expenditures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1.704-)(iv)(i)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subtracted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loss;</w:t>
      </w:r>
    </w:p>
    <w:p w:rsidR="00A3267D" w:rsidRPr="00E71012" w:rsidRDefault="00A3267D" w:rsidP="00A3267D">
      <w:pPr>
        <w:spacing w:after="240"/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(c)</w:t>
      </w:r>
      <w:r w:rsidRPr="00E71012">
        <w:rPr>
          <w:rFonts w:ascii="Arial Narrow" w:hAnsi="Arial Narrow"/>
          <w:szCs w:val="24"/>
        </w:rPr>
        <w:tab/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disposition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Losses;</w:t>
      </w:r>
    </w:p>
    <w:p w:rsidR="00A3267D" w:rsidRPr="00E71012" w:rsidRDefault="00A3267D" w:rsidP="00A3267D">
      <w:pPr>
        <w:spacing w:after="240"/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(d)</w:t>
      </w:r>
      <w:r w:rsidRPr="00E71012">
        <w:rPr>
          <w:rFonts w:ascii="Arial Narrow" w:hAnsi="Arial Narrow"/>
          <w:szCs w:val="24"/>
        </w:rPr>
        <w:tab/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disposition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differs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Value;</w:t>
      </w:r>
    </w:p>
    <w:p w:rsidR="00A3267D" w:rsidRPr="00E71012" w:rsidRDefault="00A3267D" w:rsidP="00A3267D">
      <w:pPr>
        <w:spacing w:after="240"/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(e)</w:t>
      </w:r>
      <w:r w:rsidRPr="00E71012">
        <w:rPr>
          <w:rFonts w:ascii="Arial Narrow" w:hAnsi="Arial Narrow"/>
          <w:szCs w:val="24"/>
        </w:rPr>
        <w:tab/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lieu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amortization,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depreciation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maintenance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rules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1.704-1(b)(2)(iv)(g)(3)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</w:p>
    <w:p w:rsidR="00A3267D" w:rsidRPr="00E71012" w:rsidRDefault="00A3267D" w:rsidP="00A3267D">
      <w:pPr>
        <w:spacing w:after="240"/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lastRenderedPageBreak/>
        <w:t>(f)</w:t>
      </w:r>
      <w:r w:rsidRPr="00E71012">
        <w:rPr>
          <w:rFonts w:ascii="Arial Narrow" w:hAnsi="Arial Narrow"/>
          <w:szCs w:val="24"/>
        </w:rPr>
        <w:tab/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734(b)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743(b)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1.704-(1)(b)(2)(iv)(m)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liquidation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increases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decreases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disposition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Losses.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Nonrecourse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Debt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1.704-2(b)(3)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Nonrecourse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Deductions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1.704-2(c).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Operating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Agreement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Person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individual,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corporation,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partnership,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partnership,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trust,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unincorporated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government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agency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political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subdivision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Pro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Rata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Share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numerator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denominator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numerator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denominator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Regulations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Treasury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promulgated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Tax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Distribution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3.01(c))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completed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calendar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quarter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exceeds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cumulative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inception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multiplied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40.0%.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Unit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membership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Schedule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attached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hereto.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corresponding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identified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3267D" w:rsidRPr="00E71012" w:rsidTr="00E71012">
        <w:tc>
          <w:tcPr>
            <w:tcW w:w="4788" w:type="dxa"/>
            <w:shd w:val="pct25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lastRenderedPageBreak/>
              <w:t>Term</w:t>
            </w:r>
          </w:p>
        </w:tc>
        <w:tc>
          <w:tcPr>
            <w:tcW w:w="4788" w:type="dxa"/>
            <w:shd w:val="pct25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Section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[“</w:t>
            </w:r>
            <w:r w:rsidRPr="00E71012">
              <w:rPr>
                <w:rFonts w:ascii="Arial Narrow" w:hAnsi="Arial Narrow"/>
                <w:b/>
                <w:szCs w:val="24"/>
              </w:rPr>
              <w:t>Additional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Issuance</w:t>
            </w:r>
            <w:r w:rsidRPr="00E71012">
              <w:rPr>
                <w:rFonts w:ascii="Arial Narrow" w:hAnsi="Arial Narrow"/>
                <w:szCs w:val="24"/>
              </w:rPr>
              <w:t>”]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[2.05(d)]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Co-Sale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Exercised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Units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Amount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6.03(c)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Co-Sale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Unsold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Units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Amount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6.03(c)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Co-Sale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Notice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6.03(a)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Covered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Person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9.14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Excess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Amount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Exercised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Units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6.02(d)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Family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Member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6.01(b)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Foundation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Background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Interest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Certificate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2.05(c)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License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Agreement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Background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Majority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Member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6.04(a)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Maximum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Amount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Minimum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Amount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Notice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of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Acceptance</w:t>
            </w:r>
            <w:r w:rsidRPr="00E71012">
              <w:rPr>
                <w:rFonts w:ascii="Arial Narrow" w:hAnsi="Arial Narrow"/>
                <w:szCs w:val="24"/>
              </w:rPr>
              <w:t>”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6.02(d)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Offered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Units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Offeree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Members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Participant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6.03(b)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Regulatory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Allocations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3.01(d)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Remaining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Offered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Units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ROFR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Share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6.02(c)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Sale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Notice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Selling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Member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6.02(a)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SUNY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6.01(b)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Tag-Along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Acceptance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Notice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6.04(b)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lastRenderedPageBreak/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Tag-Along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Notice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6.04(b)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Tag-Along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Members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6.04(a)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Tag-Along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Right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6.04(a)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Tag-Along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Transaction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6.04(a)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Transfer</w:t>
            </w:r>
            <w:r w:rsidRP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b/>
                <w:szCs w:val="24"/>
              </w:rPr>
            </w:pPr>
            <w:r w:rsidRPr="00E71012">
              <w:rPr>
                <w:rFonts w:ascii="Arial Narrow" w:hAnsi="Arial Narrow"/>
                <w:b/>
                <w:szCs w:val="24"/>
              </w:rPr>
              <w:t>6.01(a)</w:t>
            </w:r>
          </w:p>
        </w:tc>
      </w:tr>
      <w:tr w:rsidR="00A3267D" w:rsidRPr="00E71012" w:rsidTr="00E71012"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“</w:t>
            </w:r>
            <w:r w:rsidRPr="00E71012">
              <w:rPr>
                <w:rFonts w:ascii="Arial Narrow" w:hAnsi="Arial Narrow"/>
                <w:b/>
                <w:szCs w:val="24"/>
              </w:rPr>
              <w:t>Unit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Purchase</w:t>
            </w:r>
            <w:r w:rsidR="00C4476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</w:rPr>
              <w:t>Agreement</w:t>
            </w:r>
            <w:r w:rsidR="00E71012">
              <w:rPr>
                <w:rFonts w:ascii="Arial Narrow" w:hAnsi="Arial Narrow"/>
                <w:szCs w:val="24"/>
              </w:rPr>
              <w:t>”</w:t>
            </w:r>
          </w:p>
        </w:tc>
        <w:tc>
          <w:tcPr>
            <w:tcW w:w="4788" w:type="dxa"/>
            <w:shd w:val="clear" w:color="auto" w:fill="auto"/>
          </w:tcPr>
          <w:p w:rsidR="00A3267D" w:rsidRPr="00E71012" w:rsidRDefault="00A3267D" w:rsidP="00E71012">
            <w:pPr>
              <w:pStyle w:val="BodyText"/>
              <w:ind w:firstLine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Background</w:t>
            </w:r>
          </w:p>
        </w:tc>
      </w:tr>
    </w:tbl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ORGANIZATION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Name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[___________________]</w:t>
      </w: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Purposes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engage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[INSERT: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Description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of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Company’s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business]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lawful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activity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incidental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foregoing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Principal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principal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[INSERT: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Address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of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Company’s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office]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advisable.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Term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continue,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sooner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Units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Issuance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Units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consideration,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possessing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either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authorize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types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Class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A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Units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assignee)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lastRenderedPageBreak/>
        <w:t>Unit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Certificates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irrevocably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governed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8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Uniform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Commercial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jurisdiction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substantially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8.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evidence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(each,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“Interest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Certificate”</w:t>
      </w:r>
      <w:r w:rsidRPr="00E71012">
        <w:rPr>
          <w:rFonts w:ascii="Arial Narrow" w:hAnsi="Arial Narrow"/>
          <w:szCs w:val="24"/>
        </w:rPr>
        <w:t>).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certifying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owned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signatures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facsimile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electronic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signature.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endorsed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legend:</w:t>
      </w:r>
    </w:p>
    <w:p w:rsidR="00A3267D" w:rsidRPr="00E71012" w:rsidRDefault="00A3267D" w:rsidP="00A3267D">
      <w:pPr>
        <w:spacing w:after="240"/>
        <w:ind w:left="1440" w:right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PLEDGE,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HYPOTHECATION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PROHIBITED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COPIES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OBTAINED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spacing w:after="240"/>
        <w:ind w:left="1440" w:right="1440"/>
        <w:rPr>
          <w:rFonts w:ascii="Arial Narrow" w:hAnsi="Arial Narrow"/>
          <w:szCs w:val="24"/>
        </w:rPr>
      </w:pP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t>[NOTE: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following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clauses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should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be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used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if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Foundation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gets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Anti-Dilution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Rights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or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Preemptive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Rights.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Foundation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should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get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one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or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other.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Anti-Dilution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can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be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addressed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in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different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ways,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but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provision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below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is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most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favorable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to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Foundation.]</w:t>
      </w:r>
    </w:p>
    <w:p w:rsidR="00A3267D" w:rsidRPr="00E71012" w:rsidRDefault="00A3267D" w:rsidP="00A3267D">
      <w:pPr>
        <w:pStyle w:val="Heading3"/>
        <w:numPr>
          <w:ilvl w:val="0"/>
          <w:numId w:val="0"/>
        </w:numPr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Anti-Dilution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derivative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Additional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Issuance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contemporaneously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sufficient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investor,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contemplated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2.05(e)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connection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transaction.</w:t>
      </w:r>
      <w:r w:rsidRPr="00E71012">
        <w:rPr>
          <w:rFonts w:ascii="Arial Narrow" w:hAnsi="Arial Narrow"/>
          <w:szCs w:val="24"/>
        </w:rPr>
        <w:cr/>
      </w:r>
    </w:p>
    <w:p w:rsidR="00A3267D" w:rsidRPr="00E71012" w:rsidRDefault="00A3267D" w:rsidP="00A3267D">
      <w:pPr>
        <w:pStyle w:val="Heading3"/>
        <w:numPr>
          <w:ilvl w:val="0"/>
          <w:numId w:val="0"/>
        </w:numPr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Preemptive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Rights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price)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paid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(30)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calendar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(exercisable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(30)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calendar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sufficient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ensure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price)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price)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paid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</w:t>
      </w:r>
      <w:r w:rsidR="00E71012">
        <w:rPr>
          <w:rFonts w:ascii="Arial Narrow" w:hAnsi="Arial Narrow"/>
          <w:szCs w:val="24"/>
        </w:rPr>
        <w:t>itional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="00E71012">
        <w:rPr>
          <w:rFonts w:ascii="Arial Narrow" w:hAnsi="Arial Narrow"/>
          <w:szCs w:val="24"/>
        </w:rPr>
        <w:t>issued.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money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exchange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opposite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Schedule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attached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hereto.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return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liquidation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return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return.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specifically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withdraw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reduce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demand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return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owned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claim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judicial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Account.</w:t>
      </w: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Allocation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lastRenderedPageBreak/>
        <w:t>Allocations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–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Overview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rules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below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comprising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balance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aforementioned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general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general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3.01(b)</w:t>
      </w: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General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Allocations</w:t>
      </w: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comprising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nearly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possible,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balance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negative)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of:</w:t>
      </w:r>
    </w:p>
    <w:p w:rsidR="00A3267D" w:rsidRPr="00E71012" w:rsidRDefault="00A3267D" w:rsidP="00A3267D">
      <w:pPr>
        <w:spacing w:after="240"/>
        <w:ind w:firstLine="216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(1)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hypothetical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(x)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(y)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satisfied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(limited,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(z)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proceeds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satisfaction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liabilities)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7.02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over</w:t>
      </w:r>
    </w:p>
    <w:p w:rsidR="00A3267D" w:rsidRPr="00E71012" w:rsidRDefault="00A3267D" w:rsidP="00A3267D">
      <w:pPr>
        <w:spacing w:after="240"/>
        <w:ind w:firstLine="216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(2)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(x)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duplication,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(y)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1.704-2(g)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(z)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hypothetical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3.01(b)(i)(1)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above.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(ii)</w:t>
      </w:r>
      <w:r w:rsidRPr="00E71012">
        <w:rPr>
          <w:rFonts w:ascii="Arial Narrow" w:hAnsi="Arial Narrow"/>
          <w:szCs w:val="24"/>
        </w:rPr>
        <w:tab/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anything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3.01(b)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maximum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3.01(b)(ii)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balances,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clauses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thereafter,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Special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Allocations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order: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(i)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  <w:u w:val="single"/>
        </w:rPr>
        <w:t>Company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Minimum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Gain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Chargeback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decrease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(and,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subsequent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decrease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1.704-(2)(g)(2)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1.704-2(f)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chargeback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interpreted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consistently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therewith.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(ii)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  <w:u w:val="single"/>
        </w:rPr>
        <w:t>Member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Minimum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Gain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Chargeback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3.01(c)(i)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decrease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attributable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attributable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(and,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subsequent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decrease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attributable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1.704-2(i)(4)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chargeback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interpreted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consistently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therewith.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(iii)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  <w:u w:val="single"/>
        </w:rPr>
        <w:t>Qualified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Income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Offset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unexpectedly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1.704-1(b)(2)(ii)(d)(4),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(6)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sufficient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eliminate,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quickly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possible,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3.01(c)(iii)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tentatively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(iv)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  <w:u w:val="single"/>
        </w:rPr>
        <w:t>Gross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Income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Allocation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1.704-2(g)(1)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quickly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possible,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3.01(c)(iv)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deficit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tentatively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3.01(c)(iv)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(v)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  <w:u w:val="single"/>
        </w:rPr>
        <w:t>Nonrecourse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Deductions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(vi)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  <w:u w:val="single"/>
        </w:rPr>
        <w:t>Member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Nonrecourse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Deductions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bears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economic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risk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Nonrecourse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attributable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1.704-2(i)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(vii)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  <w:u w:val="single"/>
        </w:rPr>
        <w:t>Other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734(b)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743(b)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1.704-1(b)(2)(iv)(m)(2)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1.704-1(b)(2)(iv)(m)(4)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complete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liquidation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increases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decreases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1.704-1(b)(2)(iv)(m)(2)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1.704-1(b)(2)(iv)(m)(4)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applies.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Curative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Allocations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“Regulatory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Allocations”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predecessor)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3.01(c)(i)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–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(vi)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III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Regulatory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Regulatory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possible,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Regulatory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Regulatory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occurred.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discretion,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whatever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likely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minimize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economic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distortions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Regulatory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divide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likely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minimize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economic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distortions.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Tax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Allocations;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Code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Section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704(c)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704(c)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thereunder,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variation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between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subsequent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variation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between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adjusted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704(c)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thereunder.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reflects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3.01(e)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affect,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computing,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Additional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Members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different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Fiscal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706,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convention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Allocations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Relating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to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Taxable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Issuance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Units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deduction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realized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indirect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possible,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together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realized.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Distributions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lastRenderedPageBreak/>
        <w:t>General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discretion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Available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Share.</w:t>
      </w:r>
    </w:p>
    <w:p w:rsidR="00A3267D" w:rsidRPr="00E71012" w:rsidRDefault="00A3267D" w:rsidP="00A3267D">
      <w:pPr>
        <w:pStyle w:val="Heading3"/>
        <w:rPr>
          <w:rFonts w:ascii="Arial Narrow" w:hAnsi="Arial Narrow"/>
        </w:rPr>
      </w:pPr>
      <w:r w:rsidRPr="00E71012">
        <w:rPr>
          <w:rFonts w:ascii="Arial Narrow" w:hAnsi="Arial Narrow"/>
          <w:u w:val="single"/>
        </w:rPr>
        <w:t>Tax</w:t>
      </w:r>
      <w:r w:rsidR="00C44768">
        <w:rPr>
          <w:rFonts w:ascii="Arial Narrow" w:hAnsi="Arial Narrow"/>
          <w:u w:val="single"/>
        </w:rPr>
        <w:t xml:space="preserve"> </w:t>
      </w:r>
      <w:r w:rsidRPr="00E71012">
        <w:rPr>
          <w:rFonts w:ascii="Arial Narrow" w:hAnsi="Arial Narrow"/>
          <w:u w:val="single"/>
        </w:rPr>
        <w:t>Distributions</w:t>
      </w:r>
      <w:r w:rsidRPr="00E71012">
        <w:rPr>
          <w:rFonts w:ascii="Arial Narrow" w:hAnsi="Arial Narrow"/>
        </w:rPr>
        <w:t>.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addition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  <w:b/>
        </w:rPr>
        <w:t>Section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3.02(a)</w:t>
      </w:r>
      <w:r w:rsidRPr="00E71012">
        <w:rPr>
          <w:rFonts w:ascii="Arial Narrow" w:hAnsi="Arial Narrow"/>
        </w:rPr>
        <w:t>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Tax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Distribution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shall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distributed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each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quarterly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soon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possible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after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each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April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1,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July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1,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October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1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January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1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during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term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of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Company.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3.02(b)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advance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reduce,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3.02(b)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earlier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ceases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Member.</w:t>
      </w: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MANAGEMENT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Management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explicitly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capacity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control,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expressly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delegated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behalf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bind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Nothing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4.01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restrict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consisting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5.01(c)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t>[NOTE: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Consider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whether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the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Foundation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desires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to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have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observation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rights]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Powers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expressly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nonwaivable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specifically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full,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exclusive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complete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discretion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control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affecting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appropriate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accomplish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foregoing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delegate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  <w:r w:rsidR="00C44768">
        <w:rPr>
          <w:rFonts w:ascii="Arial Narrow" w:hAnsi="Arial Narrow"/>
          <w:szCs w:val="24"/>
        </w:rPr>
        <w:t xml:space="preserve"> 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Meetings;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quarterly.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mailing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twelve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nationally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overnight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courier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telephoning,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telecopying,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e-mailing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nationally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overnight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courier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telephoning,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telecopying,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e-mailing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confirmed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nationally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internationally,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appropriate,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courier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service)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(3)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proxy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seventy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two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(72)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hours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originally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scheduled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meeting).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lacking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seventy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two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(72)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hours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meeting).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4.04(a)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seventy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two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(72)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hours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second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accompanied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agenda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general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discussed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requisite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originally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called.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deliberations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minutes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circulated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review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next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Organization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Chairman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appointed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Chairman,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Chairman,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sessions,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affecting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employment,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compensation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performance.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Vote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Telephone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restricted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conference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telephone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communications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equipment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Vacancies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Removal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vacancy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occurring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death,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resignation,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incapacity,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removal,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Committees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unanimous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committees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individuals,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pleasure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Individuals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committee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own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committees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comprised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entirely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individuals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Affiliates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either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independent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Compensation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compensation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services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reimbursement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incurred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connection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reimbursement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policy.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Status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lastRenderedPageBreak/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“manager”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privileges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protections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“manager”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thereunder,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delegation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responsibility,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individually,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bind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collectively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through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perform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409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performing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duties,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information,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opinions,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reports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statements,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financial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financial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data,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prepared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employees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counsel,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public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accountants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believes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professional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competence.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Limitations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specifically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money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capacity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Director.</w:t>
      </w:r>
    </w:p>
    <w:p w:rsidR="00A3267D" w:rsidRPr="00E71012" w:rsidRDefault="00A3267D" w:rsidP="00A3267D">
      <w:pPr>
        <w:pStyle w:val="Heading2"/>
        <w:tabs>
          <w:tab w:val="clear" w:pos="1800"/>
          <w:tab w:val="num" w:pos="1440"/>
        </w:tabs>
        <w:ind w:left="0" w:firstLine="1080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Insurance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unanimous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maintain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insurance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benefit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indemnification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9.15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asserted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incurred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capacity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arising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Officers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Chief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Chief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Financial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Treasurer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Vice-Presidents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rank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specify),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Assistant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Secretaries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Assistant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Treasurers)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appropriate.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individuals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adjacent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earlier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resignation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replacement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qualified:</w:t>
      </w:r>
    </w:p>
    <w:p w:rsidR="00A3267D" w:rsidRPr="00E71012" w:rsidRDefault="00A3267D" w:rsidP="00A3267D">
      <w:pPr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t>[_______________]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</w:rPr>
        <w:tab/>
        <w:t>President</w:t>
      </w:r>
    </w:p>
    <w:p w:rsidR="00A3267D" w:rsidRPr="00E71012" w:rsidRDefault="00A3267D" w:rsidP="00A3267D">
      <w:pPr>
        <w:ind w:left="720" w:firstLine="720"/>
        <w:rPr>
          <w:rFonts w:ascii="Arial Narrow" w:hAnsi="Arial Narrow"/>
          <w:szCs w:val="24"/>
        </w:rPr>
      </w:pPr>
    </w:p>
    <w:p w:rsidR="00A3267D" w:rsidRPr="00E71012" w:rsidRDefault="00A3267D" w:rsidP="00A3267D">
      <w:pPr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t>[_______________]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</w:rPr>
        <w:tab/>
        <w:t>Vice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</w:t>
      </w:r>
    </w:p>
    <w:p w:rsidR="00A3267D" w:rsidRPr="00E71012" w:rsidRDefault="00A3267D" w:rsidP="00A3267D">
      <w:pPr>
        <w:ind w:left="720" w:firstLine="720"/>
        <w:rPr>
          <w:rFonts w:ascii="Arial Narrow" w:hAnsi="Arial Narrow"/>
          <w:szCs w:val="24"/>
        </w:rPr>
      </w:pPr>
    </w:p>
    <w:p w:rsidR="00A3267D" w:rsidRPr="00E71012" w:rsidRDefault="00A3267D" w:rsidP="00A3267D">
      <w:pPr>
        <w:spacing w:after="240"/>
        <w:ind w:left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lastRenderedPageBreak/>
        <w:t>[_______________]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</w:rPr>
        <w:tab/>
        <w:t>Secretary</w:t>
      </w:r>
    </w:p>
    <w:p w:rsidR="00A3267D" w:rsidRPr="00E71012" w:rsidRDefault="00A3267D" w:rsidP="00A3267D">
      <w:pPr>
        <w:ind w:left="720" w:firstLine="72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highlight w:val="yellow"/>
        </w:rPr>
        <w:t>[_______________]</w:t>
      </w:r>
      <w:r w:rsidRPr="00E71012">
        <w:rPr>
          <w:rFonts w:ascii="Arial Narrow" w:hAnsi="Arial Narrow"/>
          <w:szCs w:val="24"/>
        </w:rPr>
        <w:tab/>
      </w:r>
      <w:r w:rsidRPr="00E71012">
        <w:rPr>
          <w:rFonts w:ascii="Arial Narrow" w:hAnsi="Arial Narrow"/>
          <w:szCs w:val="24"/>
        </w:rPr>
        <w:tab/>
        <w:t>Treasurer</w:t>
      </w:r>
    </w:p>
    <w:p w:rsidR="00A3267D" w:rsidRPr="00E71012" w:rsidRDefault="00A3267D" w:rsidP="00A3267D">
      <w:pPr>
        <w:ind w:left="720" w:firstLine="720"/>
        <w:rPr>
          <w:rFonts w:ascii="Arial Narrow" w:hAnsi="Arial Narrow"/>
          <w:szCs w:val="24"/>
        </w:rPr>
      </w:pP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Term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Vacancy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resignation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removal.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Vacancies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occurring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death,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resignation,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Powers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principal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general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supervise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management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day-to-day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report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resolutions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carried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President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arbiter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differences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affecting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binding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between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1"/>
        <w:keepNext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MEETINGS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VOTING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Voting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Whenever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particular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procedures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5.07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statute,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outstanding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Directors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removed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Units: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lastRenderedPageBreak/>
        <w:t>(i)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(ii)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change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eliminate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2.02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(Purpose),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2.05(b)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2.05(d)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([Anti-Dilution][Preemptive</w:t>
      </w:r>
      <w:r w:rsidR="00C44768">
        <w:rPr>
          <w:rFonts w:ascii="Arial Narrow" w:hAnsi="Arial Narrow"/>
          <w:szCs w:val="24"/>
          <w:highlight w:val="yellow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Rights])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3.2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(Distributions),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4.10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(Compensation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4.11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(Status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5.01(e)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(Voting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7.02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(Winding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VI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IX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(General),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(iii)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derivative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bonus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“phantom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plans”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appreciation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plan”,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preference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(iv)</w:t>
      </w:r>
      <w:r w:rsidRPr="00E71012">
        <w:rPr>
          <w:rFonts w:ascii="Arial Narrow" w:hAnsi="Arial Narrow"/>
          <w:szCs w:val="24"/>
        </w:rPr>
        <w:tab/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redemption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Refusal)),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(v)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merger,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conversion,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consolidation,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exchange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combination,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(vi)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voluntary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VII</w:t>
      </w:r>
      <w:r w:rsidRPr="00E71012">
        <w:rPr>
          <w:rFonts w:ascii="Arial Narrow" w:hAnsi="Arial Narrow"/>
          <w:szCs w:val="24"/>
        </w:rPr>
        <w:t>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liquidation,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petition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bankruptcy,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(3)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appointment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(4)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benefit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creditors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(vii)</w:t>
      </w:r>
      <w:r w:rsidRPr="00E71012">
        <w:rPr>
          <w:rFonts w:ascii="Arial Narrow" w:hAnsi="Arial Narrow"/>
          <w:szCs w:val="24"/>
        </w:rPr>
        <w:tab/>
        <w:t>paying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dividend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expressly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(viii)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change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policies,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changes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generally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practices,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change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revocation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classification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Code,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enacted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lieu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correspondi</w:t>
      </w:r>
      <w:r w:rsidR="00C44768">
        <w:rPr>
          <w:rFonts w:ascii="Arial Narrow" w:hAnsi="Arial Narrow"/>
          <w:szCs w:val="24"/>
        </w:rPr>
        <w:t>ng provision of state tax laws,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(ix)</w:t>
      </w:r>
      <w:r w:rsidRPr="00E71012">
        <w:rPr>
          <w:rFonts w:ascii="Arial Narrow" w:hAnsi="Arial Narrow"/>
          <w:szCs w:val="24"/>
        </w:rPr>
        <w:tab/>
        <w:t>incurring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behalf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goods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services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rendered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ordinary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credit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facilities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capital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commercial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bank,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</w:p>
    <w:p w:rsidR="00A3267D" w:rsidRPr="00E71012" w:rsidRDefault="00A3267D" w:rsidP="00A3267D">
      <w:pPr>
        <w:tabs>
          <w:tab w:val="left" w:pos="0"/>
        </w:tabs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(x)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ab/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debt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Meetings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lastRenderedPageBreak/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annual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month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year,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reviewing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annual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annual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When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assembled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annual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consistent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assembled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preceding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sentence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conference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telephone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communications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equipment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Place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either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annual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objects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location,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principal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When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sixty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(60)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hour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called.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submits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proxy.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attendance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proxy,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protesting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conclusion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lack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lastRenderedPageBreak/>
        <w:t>Quorum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outstanding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involves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5.01(d)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attendance.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adjourn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despite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quorum.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Proxies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proxy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attorney-in-fact.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proxy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proxy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valid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months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proxy.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authorize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principal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Every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signature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sixty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(60)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earliest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5.07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signed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sufficient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Prompt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unanimous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would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meeting.</w:t>
      </w: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INTERESTS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Assignment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lastRenderedPageBreak/>
        <w:t>General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Restriction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expressly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bequeath,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hypothecate,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pledge,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encumber,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trust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(voting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dispose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owned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acquired,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controlled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voluntarily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through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bankruptcy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insolvency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proceedings,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adjudication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insanity,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death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nature,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kind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description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withdraw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petition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judicial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(sometimes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“Transfer”</w:t>
      </w:r>
      <w:r w:rsidRPr="00E71012">
        <w:rPr>
          <w:rFonts w:ascii="Arial Narrow" w:hAnsi="Arial Narrow"/>
          <w:szCs w:val="24"/>
        </w:rPr>
        <w:t>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VI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void.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Permitted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Transfers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restrictions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VI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Units:</w:t>
      </w:r>
    </w:p>
    <w:p w:rsidR="00A3267D" w:rsidRPr="00E71012" w:rsidRDefault="00A3267D" w:rsidP="00A3267D">
      <w:pPr>
        <w:pStyle w:val="Heading5"/>
        <w:tabs>
          <w:tab w:val="clear" w:pos="3600"/>
          <w:tab w:val="num" w:pos="0"/>
        </w:tabs>
        <w:ind w:left="0" w:firstLine="1440"/>
        <w:rPr>
          <w:rFonts w:ascii="Arial Narrow" w:hAnsi="Arial Narrow"/>
        </w:rPr>
      </w:pPr>
      <w:r w:rsidRPr="00E71012">
        <w:rPr>
          <w:rFonts w:ascii="Arial Narrow" w:hAnsi="Arial Narrow"/>
        </w:rPr>
        <w:t>gifts,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bequests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transfers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individual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Members,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either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during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his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her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lifetime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death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will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intestacy,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his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her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spouse,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siblings,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lineal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antecedents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descendants,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children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grandchildren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(natural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adopted)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nieces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nephews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(natural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adopted)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(collectively,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“</w:t>
      </w:r>
      <w:r w:rsidRPr="00E71012">
        <w:rPr>
          <w:rFonts w:ascii="Arial Narrow" w:hAnsi="Arial Narrow"/>
          <w:b/>
        </w:rPr>
        <w:t>Family</w:t>
      </w:r>
      <w:r w:rsidR="00C44768">
        <w:rPr>
          <w:rFonts w:ascii="Arial Narrow" w:hAnsi="Arial Narrow"/>
          <w:b/>
        </w:rPr>
        <w:t xml:space="preserve"> </w:t>
      </w:r>
      <w:r w:rsidRPr="00E71012">
        <w:rPr>
          <w:rFonts w:ascii="Arial Narrow" w:hAnsi="Arial Narrow"/>
          <w:b/>
        </w:rPr>
        <w:t>Members</w:t>
      </w:r>
      <w:r w:rsidRPr="00E71012">
        <w:rPr>
          <w:rFonts w:ascii="Arial Narrow" w:hAnsi="Arial Narrow"/>
        </w:rPr>
        <w:t>”),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(ii)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trusts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for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benefit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of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Family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(iii)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entities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controlled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Family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Member;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and</w:t>
      </w:r>
    </w:p>
    <w:p w:rsidR="00A3267D" w:rsidRPr="00E71012" w:rsidRDefault="00A3267D" w:rsidP="00A3267D">
      <w:pPr>
        <w:pStyle w:val="Heading5"/>
        <w:tabs>
          <w:tab w:val="clear" w:pos="3600"/>
          <w:tab w:val="num" w:pos="0"/>
        </w:tabs>
        <w:ind w:left="0"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University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(“</w:t>
      </w:r>
      <w:r w:rsidRPr="00E71012">
        <w:rPr>
          <w:rFonts w:ascii="Arial Narrow" w:hAnsi="Arial Narrow"/>
          <w:b/>
          <w:szCs w:val="24"/>
        </w:rPr>
        <w:t>SUNY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employee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employee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institution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inter-institutional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connection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technology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licensed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License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Heading2"/>
        <w:rPr>
          <w:rFonts w:ascii="Arial Narrow" w:hAnsi="Arial Narrow"/>
          <w:szCs w:val="24"/>
          <w:u w:val="none"/>
        </w:rPr>
      </w:pP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Refusal</w:t>
      </w:r>
      <w:r w:rsidR="00C44768">
        <w:rPr>
          <w:rFonts w:ascii="Arial Narrow" w:hAnsi="Arial Narrow"/>
          <w:szCs w:val="24"/>
          <w:u w:val="none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Offer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to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Sell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Units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desires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Selling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Member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Sale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Notice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Offered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Units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detail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identity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known),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below)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irrevocable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(30)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ninety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(90)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Option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the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Company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Option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Offeree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Members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6.02(b)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above,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(collectively,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Offeree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Members</w:t>
      </w:r>
      <w:r w:rsidRPr="00E71012">
        <w:rPr>
          <w:rFonts w:ascii="Arial Narrow" w:hAnsi="Arial Narrow"/>
          <w:szCs w:val="24"/>
        </w:rPr>
        <w:t>”),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copy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stating: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Remaining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Offered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Units</w:t>
      </w:r>
      <w:r w:rsidRPr="00E71012">
        <w:rPr>
          <w:rFonts w:ascii="Arial Narrow" w:hAnsi="Arial Narrow"/>
          <w:szCs w:val="24"/>
        </w:rPr>
        <w:t>”),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records,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twenty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(20)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specifying: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(up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ROFR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below))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irrevocably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Minimum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Amount</w:t>
      </w:r>
      <w:r w:rsidRPr="00E71012">
        <w:rPr>
          <w:rFonts w:ascii="Arial Narrow" w:hAnsi="Arial Narrow"/>
          <w:szCs w:val="24"/>
        </w:rPr>
        <w:t>”),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(2)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maximum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ROFR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irrevocably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Excess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Amount</w:t>
      </w:r>
      <w:r w:rsidRPr="00E71012">
        <w:rPr>
          <w:rFonts w:ascii="Arial Narrow" w:hAnsi="Arial Narrow"/>
          <w:szCs w:val="24"/>
        </w:rPr>
        <w:t>”).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automatically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Minimum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rounding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avoid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fractional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ROFR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declined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ROFR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automatically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rounding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avoid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fractional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ROFR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greater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satisfied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rounding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avoid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fractional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ROFR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procedure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employed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satisfied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allocated.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ROFR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Share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percentage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dividing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aggregate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aggregate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failure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regarding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</w:t>
      </w:r>
      <w:r w:rsidR="00C44768">
        <w:rPr>
          <w:rFonts w:ascii="Arial Narrow" w:hAnsi="Arial Narrow"/>
          <w:szCs w:val="24"/>
        </w:rPr>
        <w:t>se any Remaining Offered Units.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Notice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Acceptance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6.02(c)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behalf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itself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Notice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of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Acceptance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(30)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specifying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(collectively,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Exercised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Units</w:t>
      </w:r>
      <w:r w:rsidRPr="00E71012">
        <w:rPr>
          <w:rFonts w:ascii="Arial Narrow" w:hAnsi="Arial Narrow"/>
          <w:szCs w:val="24"/>
        </w:rPr>
        <w:t>”).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Nothing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prejudice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maintain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remedies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available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default.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Offeree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Member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Closing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closing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6.02(c)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place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principal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fifth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(5th)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closing,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available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funds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appropriate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endorsed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membership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attached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purchased.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liens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encumbrances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Sale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to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Prospective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Transferee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(30)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aggregate,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free,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6.03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ninety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(90)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Unsold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Units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6.05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6.06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Promptly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6.02(f)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completed,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notify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furnish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evidence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completion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completion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request.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sixty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(60)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complying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VI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sixty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(60)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impractical,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terminate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attempts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recommence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procedures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VI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entirety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expiration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sixty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(60)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decision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Heading2"/>
        <w:rPr>
          <w:rFonts w:ascii="Arial Narrow" w:hAnsi="Arial Narrow"/>
          <w:szCs w:val="24"/>
          <w:u w:val="none"/>
        </w:rPr>
      </w:pP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  <w:u w:val="none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Notice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Proposed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Sale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wishes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Co-Sale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Notice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disclosing: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type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(iv)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aggregate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copy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Right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Participation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in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Sales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type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below),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defined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below).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Participant</w:t>
      </w:r>
      <w:r w:rsidRPr="00E71012">
        <w:rPr>
          <w:rFonts w:ascii="Arial Narrow" w:hAnsi="Arial Narrow"/>
          <w:szCs w:val="24"/>
        </w:rPr>
        <w:t>.”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Definitions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Co-Sale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Exercised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Units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Amount</w:t>
      </w:r>
      <w:r w:rsidRPr="00E71012">
        <w:rPr>
          <w:rFonts w:ascii="Arial Narrow" w:hAnsi="Arial Narrow"/>
          <w:szCs w:val="24"/>
        </w:rPr>
        <w:t>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equal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multiplied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numerator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aggregate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</w:t>
      </w:r>
      <w:r w:rsidRPr="00E71012">
        <w:rPr>
          <w:rFonts w:ascii="Arial Narrow" w:hAnsi="Arial Narrow"/>
          <w:szCs w:val="24"/>
        </w:rPr>
        <w:t>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denominator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aggregate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</w:t>
      </w:r>
      <w:r w:rsidRPr="00E71012">
        <w:rPr>
          <w:rFonts w:ascii="Arial Narrow" w:hAnsi="Arial Narrow"/>
          <w:szCs w:val="24"/>
        </w:rPr>
        <w:t>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acknowledge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zero.</w:t>
      </w:r>
    </w:p>
    <w:p w:rsidR="00A3267D" w:rsidRPr="00E71012" w:rsidRDefault="00A3267D" w:rsidP="00A3267D">
      <w:pPr>
        <w:pStyle w:val="Heading2"/>
        <w:numPr>
          <w:ilvl w:val="0"/>
          <w:numId w:val="0"/>
        </w:numPr>
        <w:ind w:firstLine="1800"/>
        <w:rPr>
          <w:rFonts w:ascii="Arial Narrow" w:hAnsi="Arial Narrow"/>
          <w:szCs w:val="24"/>
          <w:u w:val="none"/>
        </w:rPr>
      </w:pPr>
      <w:r w:rsidRPr="00E71012">
        <w:rPr>
          <w:rFonts w:ascii="Arial Narrow" w:hAnsi="Arial Narrow"/>
          <w:szCs w:val="24"/>
          <w:u w:val="none"/>
        </w:rPr>
        <w:lastRenderedPageBreak/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“</w:t>
      </w:r>
      <w:r w:rsidRPr="00E71012">
        <w:rPr>
          <w:rFonts w:ascii="Arial Narrow" w:hAnsi="Arial Narrow"/>
          <w:b/>
          <w:szCs w:val="24"/>
          <w:u w:val="none"/>
        </w:rPr>
        <w:t>Co-Sale</w:t>
      </w:r>
      <w:r w:rsidR="00C44768">
        <w:rPr>
          <w:rFonts w:ascii="Arial Narrow" w:hAnsi="Arial Narrow"/>
          <w:b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Unsold</w:t>
      </w:r>
      <w:r w:rsidR="00C44768">
        <w:rPr>
          <w:rFonts w:ascii="Arial Narrow" w:hAnsi="Arial Narrow"/>
          <w:b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Units</w:t>
      </w:r>
      <w:r w:rsidR="00C44768">
        <w:rPr>
          <w:rFonts w:ascii="Arial Narrow" w:hAnsi="Arial Narrow"/>
          <w:b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Amount</w:t>
      </w:r>
      <w:r w:rsidRPr="00E71012">
        <w:rPr>
          <w:rFonts w:ascii="Arial Narrow" w:hAnsi="Arial Narrow"/>
          <w:szCs w:val="24"/>
          <w:u w:val="none"/>
        </w:rPr>
        <w:t>”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Selling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equal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Unsold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Units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multiplied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fraction,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(i)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numerator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which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aggregate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number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Units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(if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including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Units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purchased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designated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purchase,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that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pursuant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Section</w:t>
      </w:r>
      <w:r w:rsidR="00C44768">
        <w:rPr>
          <w:rFonts w:ascii="Arial Narrow" w:hAnsi="Arial Narrow"/>
          <w:b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6.02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Selling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not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including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Units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sold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designated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sale,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Selling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pursuant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Section</w:t>
      </w:r>
      <w:r w:rsidR="00C44768">
        <w:rPr>
          <w:rFonts w:ascii="Arial Narrow" w:hAnsi="Arial Narrow"/>
          <w:b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6.02</w:t>
      </w:r>
      <w:r w:rsidRPr="00E71012">
        <w:rPr>
          <w:rFonts w:ascii="Arial Narrow" w:hAnsi="Arial Narrow"/>
          <w:szCs w:val="24"/>
          <w:u w:val="none"/>
        </w:rPr>
        <w:t>)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held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Selling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such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applicable,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(ii)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denominator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which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aggregate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number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Units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(if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including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Units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purchased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designated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purchase,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that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pursuant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Section</w:t>
      </w:r>
      <w:r w:rsidR="00C44768">
        <w:rPr>
          <w:rFonts w:ascii="Arial Narrow" w:hAnsi="Arial Narrow"/>
          <w:b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6.02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less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Co-Sale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Exercised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Share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Amount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that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Selling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not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including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Units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sold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designated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sale,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Selling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pursuant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Section</w:t>
      </w:r>
      <w:r w:rsidR="00C44768">
        <w:rPr>
          <w:rFonts w:ascii="Arial Narrow" w:hAnsi="Arial Narrow"/>
          <w:b/>
          <w:szCs w:val="24"/>
          <w:u w:val="none"/>
        </w:rPr>
        <w:t xml:space="preserve"> </w:t>
      </w:r>
      <w:r w:rsidRPr="00E71012">
        <w:rPr>
          <w:rFonts w:ascii="Arial Narrow" w:hAnsi="Arial Narrow"/>
          <w:b/>
          <w:szCs w:val="24"/>
          <w:u w:val="none"/>
        </w:rPr>
        <w:t>6.02</w:t>
      </w:r>
      <w:r w:rsidRPr="00E71012">
        <w:rPr>
          <w:rFonts w:ascii="Arial Narrow" w:hAnsi="Arial Narrow"/>
          <w:szCs w:val="24"/>
          <w:u w:val="none"/>
        </w:rPr>
        <w:t>)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held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Selling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Offeree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Members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entitled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participate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who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elect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participate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such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sale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prospective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transferee,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applicable.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Process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wishes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6.03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notify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endorsed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membership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interest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attached,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type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calculated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6.03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surrender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reissue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surrendered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denominations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certificate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type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designated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calculated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6.03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pursuant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specified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concurrently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proceeds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prohibits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refuses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hereunder,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simultaneously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Co-Sale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customary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impose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onerous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imposing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warranties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jointly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severally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warranties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customary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warranties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enforceability,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title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restrictions,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liens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encumbrances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matters.</w:t>
      </w:r>
    </w:p>
    <w:p w:rsidR="00A3267D" w:rsidRPr="00E71012" w:rsidRDefault="00A3267D" w:rsidP="00A3267D">
      <w:pPr>
        <w:pStyle w:val="Heading2"/>
        <w:rPr>
          <w:rFonts w:ascii="Arial Narrow" w:hAnsi="Arial Narrow"/>
          <w:szCs w:val="24"/>
          <w:u w:val="none"/>
        </w:rPr>
      </w:pP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Pr="00E71012">
        <w:rPr>
          <w:rFonts w:ascii="Arial Narrow" w:hAnsi="Arial Narrow"/>
          <w:szCs w:val="24"/>
          <w:u w:val="none"/>
        </w:rPr>
        <w:t>.</w:t>
      </w:r>
      <w:r w:rsidR="00C44768">
        <w:rPr>
          <w:rFonts w:ascii="Arial Narrow" w:hAnsi="Arial Narrow"/>
          <w:szCs w:val="24"/>
          <w:u w:val="none"/>
        </w:rPr>
        <w:t xml:space="preserve"> 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Tag-Along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Right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anything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contrary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6.02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6.03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(individually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collectively,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Majority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Member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fifty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percent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(50%)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outstanding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single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series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group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single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group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Tag-Along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Transaction</w:t>
      </w:r>
      <w:r w:rsidRPr="00E71012">
        <w:rPr>
          <w:rFonts w:ascii="Arial Narrow" w:hAnsi="Arial Narrow"/>
          <w:szCs w:val="24"/>
        </w:rPr>
        <w:t>”),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Tag-Along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Members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Tag-Along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Right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consideration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percentage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weighted-average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percentage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Notice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of</w:t>
      </w:r>
      <w:r w:rsidR="00C44768">
        <w:rPr>
          <w:rFonts w:ascii="Arial Narrow" w:hAnsi="Arial Narrow"/>
          <w:szCs w:val="24"/>
          <w:u w:val="single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>Exercise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fifteen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(15)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Tag-Along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Notice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containing: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address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material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instruments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information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effectuate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wishes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must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(10)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</w:t>
      </w:r>
      <w:r w:rsidRPr="00E71012">
        <w:rPr>
          <w:rFonts w:ascii="Arial Narrow" w:hAnsi="Arial Narrow"/>
          <w:b/>
          <w:szCs w:val="24"/>
        </w:rPr>
        <w:t>Tag-Along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Acceptance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Notice</w:t>
      </w:r>
      <w:r w:rsidRPr="00E71012">
        <w:rPr>
          <w:rFonts w:ascii="Arial Narrow" w:hAnsi="Arial Narrow"/>
          <w:szCs w:val="24"/>
        </w:rPr>
        <w:t>”)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treated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irrevocable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commitment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participate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Cooperation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cooperate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materials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purchase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stock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documentation)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opportunity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favor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  <w:u w:val="single"/>
        </w:rPr>
        <w:t>Abandonment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discretion,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abandon,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rescind,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annul,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withdraw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terminate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whereupon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null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void,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neither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thereto.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Nothing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construed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obligate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consummate,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u w:val="single"/>
        </w:rPr>
        <w:t>Closing</w:t>
      </w:r>
      <w:r w:rsidRPr="00E71012">
        <w:rPr>
          <w:rFonts w:ascii="Arial Narrow" w:hAnsi="Arial Narrow"/>
        </w:rPr>
        <w:t>.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closing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of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Tag-Along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Transaction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will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take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place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such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time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location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parties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Tag-Along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Transaction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may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agree.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such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closing,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each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of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Tag-Along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who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has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elected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sell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Units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Tag-Along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Transaction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will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deliver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unit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certificates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duly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endorsed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for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transfer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with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executed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membership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interest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powers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attached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representing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Units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sold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against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payment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immediately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available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funds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appropriate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amount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prospective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purchasers.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Units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will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delivered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free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clear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of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liens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encumbrances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other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than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those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imposed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by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this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Agreement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applicable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federal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and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state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securities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laws.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</w:rPr>
        <w:t>Tag-Along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Members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who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has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elected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sell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Units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in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the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Tag-Along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Transaction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also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  <w:szCs w:val="24"/>
        </w:rPr>
        <w:t>hereby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request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customary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prospective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however,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Tag-Along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warranties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jointly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severally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warranties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customary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warranties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authority,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enforceability,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title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absence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restrictions,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liens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encumbrances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imposed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federal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securities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Form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Assignment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lastRenderedPageBreak/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portion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though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VI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valid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instrument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acceptable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similar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instrument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described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paragraph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6.05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transferred.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Admission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Article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VI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approval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outstanding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sold)and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furnishing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following: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acceptance,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satisfactory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Agreement;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instruments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admission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payment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incurred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connection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admission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</w:p>
    <w:p w:rsidR="00A3267D" w:rsidRPr="00E71012" w:rsidRDefault="00A3267D" w:rsidP="00A3267D">
      <w:pPr>
        <w:pStyle w:val="Heading3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opinion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reputable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lawyer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compliance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becoming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limitation,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transferor)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and/or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Organization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desirable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transferee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allocations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pertaining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transferred,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rights.</w:t>
      </w: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DISSOLUTION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lastRenderedPageBreak/>
        <w:t>Dissolution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dissolved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vote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two-thirds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(2/3)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issued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outstanding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holding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majority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5.01(d)</w:t>
      </w: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continue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bankruptcy,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death,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expulsion,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incapacity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withdrawal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Winding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continue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period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liquidation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proportions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before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property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proceeds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liquidation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applied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follows: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(a)</w:t>
      </w:r>
      <w:r w:rsidRPr="00E71012">
        <w:rPr>
          <w:rFonts w:ascii="Arial Narrow" w:hAnsi="Arial Narrow"/>
          <w:szCs w:val="24"/>
        </w:rPr>
        <w:tab/>
        <w:t>first,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creditors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creditors,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law;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(b)</w:t>
      </w:r>
      <w:r w:rsidRPr="00E71012">
        <w:rPr>
          <w:rFonts w:ascii="Arial Narrow" w:hAnsi="Arial Narrow"/>
          <w:szCs w:val="24"/>
        </w:rPr>
        <w:tab/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Company;</w:t>
      </w:r>
    </w:p>
    <w:p w:rsidR="00A3267D" w:rsidRPr="00E71012" w:rsidRDefault="00A3267D" w:rsidP="00A3267D">
      <w:pPr>
        <w:spacing w:after="240"/>
        <w:ind w:firstLine="144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(c)</w:t>
      </w:r>
      <w:r w:rsidRPr="00E71012">
        <w:rPr>
          <w:rFonts w:ascii="Arial Narrow" w:hAnsi="Arial Narrow"/>
          <w:szCs w:val="24"/>
        </w:rPr>
        <w:tab/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finally,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Rata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Share.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Termination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occurs,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terminate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until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distributed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7.02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Final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Statement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practicable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dissolution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assets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prepared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furnished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BOOKS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ACCOUNTS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Books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keep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kept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accurately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material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transactions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records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maintained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principal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office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inspection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examination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representatives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during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ordinary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hours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furnish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furnished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report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affairs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least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annually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furnish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additional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information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prepare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returns.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lastRenderedPageBreak/>
        <w:t>Accounting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Method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accounting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method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book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tax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receipts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disbursements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methods,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permissible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method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elected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Board.</w:t>
      </w:r>
    </w:p>
    <w:p w:rsidR="00A3267D" w:rsidRPr="00E71012" w:rsidRDefault="00A3267D" w:rsidP="00A3267D">
      <w:pPr>
        <w:pStyle w:val="Heading1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br/>
        <w:t>GENERAL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Notices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recipient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certified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registered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mail,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postage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prepaid,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(c)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nationally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overnight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courier,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prepaid;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address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recipient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opposite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Person’s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Schedule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change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address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manner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conforming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hereof.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given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immediately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next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business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mailed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recognized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overnight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courier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accordance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9.01</w:t>
      </w:r>
      <w:r w:rsidRPr="00E71012">
        <w:rPr>
          <w:rFonts w:ascii="Arial Narrow" w:hAnsi="Arial Narrow"/>
          <w:szCs w:val="24"/>
        </w:rPr>
        <w:t>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Captions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titles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captions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convenience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context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Interpretation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intended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supersede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L.L.C.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different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inconsistent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Whenever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context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pronoun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corresponding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masculine,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feminine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neuter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singular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nouns,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pronouns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verbs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plural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vice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versa.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(a)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words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“include,”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“includes”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“including”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deemed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followed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words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limitation,”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“or”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exclusive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(c)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words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“herein,”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“hereof,”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“hereby,”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“hereto”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“hereunder”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whole.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Unless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context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otherwise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requires,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references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Exhibits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Schedules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Articles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Sections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Exhibits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Schedules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attached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instrument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instrument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supplemented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modified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(iii)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means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time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successor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legislation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promulgated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successor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regulations.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lastRenderedPageBreak/>
        <w:t>Entire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contains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supersedes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understandings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between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them,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representations,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arrangements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understandings,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between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among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relating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expressed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explained,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supplemented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qualified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through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evidence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trade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usage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course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dealings.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precedent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effectiveness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those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expressly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Waiver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privilege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privilege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hereunder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preclude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further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thereof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exercise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power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privilege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hereunder.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Further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documents,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provide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information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take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forebear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from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necessary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appropriate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achieve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Binding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Effect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binding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upon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inure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benefit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their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successors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assigns.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Creditors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benefit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enforceable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creditor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creditor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Validity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event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held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invalid,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respect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whatsoever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validity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remainder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Governing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governed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without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regard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conflicts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principles.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Amendment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Subject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Section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417(b)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herein,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amended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modified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affirmative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written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Counterparts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counterparts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counterparts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purposes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constitute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binding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hereto,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notwithstanding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parties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have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same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counterparts.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Severability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determined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invalid,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illegal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unenforceable,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provisions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full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force,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essential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terms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conditions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party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remain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valid,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binding,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enforceable.</w:t>
      </w:r>
    </w:p>
    <w:p w:rsidR="00A3267D" w:rsidRPr="00E71012" w:rsidRDefault="00A3267D" w:rsidP="00A3267D">
      <w:pPr>
        <w:pStyle w:val="Heading2"/>
        <w:rPr>
          <w:rFonts w:ascii="Arial Narrow" w:hAnsi="Arial Narrow"/>
          <w:vanish/>
          <w:szCs w:val="24"/>
          <w:specVanish/>
        </w:rPr>
      </w:pPr>
      <w:r w:rsidRPr="00E71012">
        <w:rPr>
          <w:rFonts w:ascii="Arial Narrow" w:hAnsi="Arial Narrow"/>
          <w:szCs w:val="24"/>
        </w:rPr>
        <w:t>Indemnification</w:t>
      </w:r>
    </w:p>
    <w:p w:rsidR="00A3267D" w:rsidRPr="00E71012" w:rsidRDefault="00A3267D" w:rsidP="00A3267D">
      <w:pPr>
        <w:pStyle w:val="BodyText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.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maximum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extent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law,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Company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shall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indemnify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“Covered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Person”</w:t>
      </w:r>
      <w:r w:rsidRPr="00E71012">
        <w:rPr>
          <w:rFonts w:ascii="Arial Narrow" w:hAnsi="Arial Narrow"/>
          <w:szCs w:val="24"/>
        </w:rPr>
        <w:t>),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matter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right,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claim,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liability,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loss,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damages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expense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(including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reasonable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attorneys’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fees)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incurred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connection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claim,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whether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pending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threatened,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against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because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Member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Director;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provided,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however,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that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no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such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indemnification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may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be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made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to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or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on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behalf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of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any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Covered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Person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if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a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judgment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or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other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final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adjudication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adverse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to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such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Indemnified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Person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established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that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(a)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Covered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pacing w:val="2"/>
          <w:szCs w:val="24"/>
        </w:rPr>
        <w:t>Person’s</w:t>
      </w:r>
      <w:r w:rsidR="00C44768">
        <w:rPr>
          <w:rFonts w:ascii="Arial Narrow" w:hAnsi="Arial Narrow"/>
          <w:spacing w:val="2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committed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bad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faith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were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result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active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and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deliberate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dishonesty,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each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case,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that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material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cause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action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adjudicated;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(b)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such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Covered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personally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gained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fact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financial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profit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other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advantage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to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which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or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was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not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legally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entitled.</w:t>
      </w:r>
    </w:p>
    <w:p w:rsidR="00A3267D" w:rsidRPr="00E71012" w:rsidRDefault="00A3267D" w:rsidP="00A3267D">
      <w:pPr>
        <w:pStyle w:val="Heading2"/>
        <w:ind w:left="0" w:firstLine="1080"/>
        <w:rPr>
          <w:rFonts w:ascii="Arial Narrow" w:hAnsi="Arial Narrow"/>
          <w:szCs w:val="24"/>
          <w:u w:val="none"/>
        </w:rPr>
      </w:pPr>
      <w:r w:rsidRPr="00E71012">
        <w:rPr>
          <w:rFonts w:ascii="Arial Narrow" w:hAnsi="Arial Narrow"/>
          <w:szCs w:val="24"/>
        </w:rPr>
        <w:t>Specific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Performance</w:t>
      </w:r>
      <w:r w:rsidRPr="00E71012">
        <w:rPr>
          <w:rFonts w:ascii="Arial Narrow" w:hAnsi="Arial Narrow"/>
          <w:szCs w:val="24"/>
          <w:u w:val="none"/>
        </w:rPr>
        <w:t>.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parties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hereby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declare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that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impossible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measure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money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damages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that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will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accrue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hereto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reason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failure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perform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obligations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under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this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Agreement.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Therefore,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hereto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shall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institute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action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proceeding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enforce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provisions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hereof,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person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against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whom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such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action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proceeding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brought,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hereby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waives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claim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defense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therein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that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such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has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have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adequate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remedy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law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instituting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action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proceeding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shall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entitled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specific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performance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terms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of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this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Agreement.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Such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remedy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shall,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however,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cumulative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not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exclusive,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and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shall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be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in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addition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to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any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other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remedy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which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the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parties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may</w:t>
      </w:r>
      <w:r w:rsidR="00C44768">
        <w:rPr>
          <w:rFonts w:ascii="Arial Narrow" w:hAnsi="Arial Narrow"/>
          <w:szCs w:val="24"/>
          <w:u w:val="none"/>
        </w:rPr>
        <w:t xml:space="preserve"> </w:t>
      </w:r>
      <w:r w:rsidRPr="00E71012">
        <w:rPr>
          <w:rFonts w:ascii="Arial Narrow" w:hAnsi="Arial Narrow"/>
          <w:szCs w:val="24"/>
          <w:u w:val="none"/>
        </w:rPr>
        <w:t>have.</w:t>
      </w:r>
    </w:p>
    <w:p w:rsidR="00A3267D" w:rsidRPr="00E71012" w:rsidRDefault="00A3267D" w:rsidP="00A3267D">
      <w:pPr>
        <w:pStyle w:val="Heading2"/>
        <w:ind w:left="0" w:firstLine="1080"/>
        <w:rPr>
          <w:rFonts w:ascii="Arial Narrow" w:hAnsi="Arial Narrow"/>
          <w:u w:val="none"/>
        </w:rPr>
      </w:pPr>
      <w:r w:rsidRPr="00E71012">
        <w:rPr>
          <w:rFonts w:ascii="Arial Narrow" w:hAnsi="Arial Narrow"/>
        </w:rPr>
        <w:t>WAIVER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OF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JURY</w:t>
      </w:r>
      <w:r w:rsidR="00C44768">
        <w:rPr>
          <w:rFonts w:ascii="Arial Narrow" w:hAnsi="Arial Narrow"/>
        </w:rPr>
        <w:t xml:space="preserve"> </w:t>
      </w:r>
      <w:r w:rsidRPr="00E71012">
        <w:rPr>
          <w:rFonts w:ascii="Arial Narrow" w:hAnsi="Arial Narrow"/>
        </w:rPr>
        <w:t>TRIAL</w:t>
      </w:r>
      <w:r w:rsidRPr="00E71012">
        <w:rPr>
          <w:rFonts w:ascii="Arial Narrow" w:hAnsi="Arial Narrow"/>
          <w:u w:val="none"/>
        </w:rPr>
        <w:t>.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EACH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PARTY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WAIVES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ITS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RIGHTS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TO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JURY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TRIAL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CLAIM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CAUSE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ACTION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BASED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UPON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ARISING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OUT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THIS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AGREEMENT,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UNITS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SUBJECT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MATTER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HEREOF.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SCOPE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THIS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WAIVER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IS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INTENDED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TO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BE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ALL-ENCOMPASSING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ALL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DISPUTES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THAT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MAY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BE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FILED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IN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COURT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THAT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RELATE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TO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SUBJECT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MATTER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THIS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TRANSACTION,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INCLUDING,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WITHOUT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LIMITATION,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CONTRACT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CLAIMS,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TORT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CLAIMS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(INCLUDING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NEGLIGENCE),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BREACH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DUTY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CLAIMS,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ALL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OTHER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COMMON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LAW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STATUTORY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CLAIMS.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THIS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SECTION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HAS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BEEN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FULLY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DISCUSSED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BY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EACH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OF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PARTIES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THESE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PROVISIONS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WILL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NOT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BE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SUBJECT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TO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EXCEPTIONS.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EACH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PARTY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FURTHER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WARRANTS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REPRESENTS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THAT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SUCH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PARTY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HAS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REVIEWED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THIS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WAIVER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WITH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ITS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LEGAL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COUNSEL,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THAT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SUCH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PARTY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KNOWINGLY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AND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VOLUNTARILY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WAIVES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ITS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JURY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TRIAL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RIGHTS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FOLLOWING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CONSULTATION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WITH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LEGAL</w:t>
      </w:r>
      <w:r w:rsidR="00C44768">
        <w:rPr>
          <w:rFonts w:ascii="Arial Narrow" w:hAnsi="Arial Narrow"/>
          <w:u w:val="none"/>
        </w:rPr>
        <w:t xml:space="preserve"> </w:t>
      </w:r>
      <w:r w:rsidRPr="00E71012">
        <w:rPr>
          <w:rFonts w:ascii="Arial Narrow" w:hAnsi="Arial Narrow"/>
          <w:u w:val="none"/>
        </w:rPr>
        <w:t>COUNSEL.</w:t>
      </w:r>
    </w:p>
    <w:p w:rsidR="00A3267D" w:rsidRPr="00E71012" w:rsidRDefault="00A3267D" w:rsidP="00A3267D">
      <w:pPr>
        <w:suppressAutoHyphens/>
        <w:spacing w:after="1200"/>
        <w:jc w:val="center"/>
        <w:rPr>
          <w:rFonts w:ascii="Arial Narrow" w:hAnsi="Arial Narrow"/>
          <w:b/>
          <w:szCs w:val="24"/>
        </w:rPr>
      </w:pPr>
      <w:r w:rsidRPr="00E71012">
        <w:rPr>
          <w:rFonts w:ascii="Arial Narrow" w:hAnsi="Arial Narrow"/>
          <w:b/>
          <w:szCs w:val="24"/>
        </w:rPr>
        <w:t>[Signature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Page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Follows]</w:t>
      </w:r>
    </w:p>
    <w:p w:rsidR="00A3267D" w:rsidRPr="00E71012" w:rsidRDefault="00A3267D" w:rsidP="00A3267D">
      <w:pPr>
        <w:suppressAutoHyphens/>
        <w:spacing w:after="1200"/>
        <w:ind w:firstLine="720"/>
        <w:jc w:val="both"/>
        <w:rPr>
          <w:rFonts w:ascii="Arial Narrow" w:hAnsi="Arial Narrow"/>
          <w:b/>
          <w:szCs w:val="24"/>
        </w:rPr>
        <w:sectPr w:rsidR="00A3267D" w:rsidRPr="00E71012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A3267D" w:rsidRPr="00E71012" w:rsidRDefault="00A3267D" w:rsidP="00A3267D">
      <w:pPr>
        <w:suppressAutoHyphens/>
        <w:spacing w:after="720"/>
        <w:ind w:firstLine="720"/>
        <w:jc w:val="both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b/>
          <w:szCs w:val="24"/>
        </w:rPr>
        <w:lastRenderedPageBreak/>
        <w:t>IN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WITNESS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WHEREOF</w:t>
      </w:r>
      <w:r w:rsidRPr="00E71012">
        <w:rPr>
          <w:rFonts w:ascii="Arial Narrow" w:hAnsi="Arial Narrow"/>
          <w:szCs w:val="24"/>
        </w:rPr>
        <w:t>,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Operating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Agreement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highlight w:val="yellow"/>
        </w:rPr>
        <w:t>[_____________]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is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executed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as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date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first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set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forth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above.</w:t>
      </w:r>
    </w:p>
    <w:p w:rsidR="00A3267D" w:rsidRPr="00E71012" w:rsidRDefault="00A3267D" w:rsidP="00A3267D">
      <w:pPr>
        <w:spacing w:after="720"/>
        <w:ind w:firstLine="3600"/>
        <w:rPr>
          <w:rFonts w:ascii="Arial Narrow" w:hAnsi="Arial Narrow"/>
          <w:b/>
          <w:caps/>
          <w:szCs w:val="24"/>
        </w:rPr>
      </w:pPr>
      <w:r w:rsidRPr="00E71012">
        <w:rPr>
          <w:rFonts w:ascii="Arial Narrow" w:hAnsi="Arial Narrow"/>
          <w:b/>
          <w:caps/>
          <w:szCs w:val="24"/>
        </w:rPr>
        <w:t>company</w:t>
      </w:r>
    </w:p>
    <w:p w:rsidR="00A3267D" w:rsidRPr="00E71012" w:rsidRDefault="00A3267D" w:rsidP="00A3267D">
      <w:pPr>
        <w:pStyle w:val="Signature"/>
        <w:ind w:left="3600"/>
        <w:rPr>
          <w:rFonts w:ascii="Arial Narrow" w:hAnsi="Arial Narrow"/>
          <w:sz w:val="24"/>
          <w:szCs w:val="24"/>
        </w:rPr>
      </w:pPr>
      <w:r w:rsidRPr="00E71012">
        <w:rPr>
          <w:rFonts w:ascii="Arial Narrow" w:hAnsi="Arial Narrow"/>
          <w:sz w:val="24"/>
          <w:szCs w:val="24"/>
          <w:highlight w:val="yellow"/>
        </w:rPr>
        <w:t>[INSERT:</w:t>
      </w:r>
      <w:r w:rsidR="00C44768">
        <w:rPr>
          <w:rFonts w:ascii="Arial Narrow" w:hAnsi="Arial Narrow"/>
          <w:sz w:val="24"/>
          <w:szCs w:val="24"/>
          <w:highlight w:val="yellow"/>
        </w:rPr>
        <w:t xml:space="preserve"> </w:t>
      </w:r>
      <w:r w:rsidRPr="00E71012">
        <w:rPr>
          <w:rFonts w:ascii="Arial Narrow" w:hAnsi="Arial Narrow"/>
          <w:sz w:val="24"/>
          <w:szCs w:val="24"/>
          <w:highlight w:val="yellow"/>
        </w:rPr>
        <w:t>COMPANY]</w:t>
      </w:r>
    </w:p>
    <w:p w:rsidR="00A3267D" w:rsidRPr="00E71012" w:rsidRDefault="00A3267D" w:rsidP="00A3267D">
      <w:pPr>
        <w:pStyle w:val="Signature"/>
        <w:ind w:left="3600"/>
        <w:rPr>
          <w:rFonts w:ascii="Arial Narrow" w:hAnsi="Arial Narrow"/>
          <w:sz w:val="24"/>
          <w:szCs w:val="24"/>
        </w:rPr>
      </w:pPr>
    </w:p>
    <w:p w:rsidR="00A3267D" w:rsidRPr="00E71012" w:rsidRDefault="00A3267D" w:rsidP="00A3267D">
      <w:pPr>
        <w:pStyle w:val="Signature"/>
        <w:ind w:left="3600"/>
        <w:rPr>
          <w:rFonts w:ascii="Arial Narrow" w:hAnsi="Arial Narrow"/>
          <w:sz w:val="24"/>
          <w:szCs w:val="24"/>
        </w:rPr>
      </w:pPr>
    </w:p>
    <w:p w:rsidR="00A3267D" w:rsidRPr="00E71012" w:rsidRDefault="00A3267D" w:rsidP="00A3267D">
      <w:pPr>
        <w:pStyle w:val="Signature"/>
        <w:ind w:left="3600"/>
        <w:rPr>
          <w:rFonts w:ascii="Arial Narrow" w:hAnsi="Arial Narrow"/>
          <w:sz w:val="24"/>
          <w:szCs w:val="24"/>
        </w:rPr>
      </w:pPr>
      <w:r w:rsidRPr="00E71012">
        <w:rPr>
          <w:rFonts w:ascii="Arial Narrow" w:hAnsi="Arial Narrow"/>
          <w:sz w:val="24"/>
          <w:szCs w:val="24"/>
        </w:rPr>
        <w:t>By:</w:t>
      </w:r>
      <w:r w:rsidR="00C44768">
        <w:rPr>
          <w:rFonts w:ascii="Arial Narrow" w:hAnsi="Arial Narrow"/>
          <w:sz w:val="24"/>
          <w:szCs w:val="24"/>
        </w:rPr>
        <w:t xml:space="preserve"> </w:t>
      </w:r>
      <w:r w:rsidRPr="00E71012">
        <w:rPr>
          <w:rFonts w:ascii="Arial Narrow" w:hAnsi="Arial Narrow"/>
          <w:sz w:val="24"/>
          <w:szCs w:val="24"/>
          <w:u w:val="single"/>
        </w:rPr>
        <w:tab/>
      </w:r>
      <w:r w:rsidRPr="00E71012">
        <w:rPr>
          <w:rFonts w:ascii="Arial Narrow" w:hAnsi="Arial Narrow"/>
          <w:sz w:val="24"/>
          <w:szCs w:val="24"/>
          <w:u w:val="single"/>
        </w:rPr>
        <w:tab/>
      </w:r>
      <w:r w:rsidRPr="00E71012">
        <w:rPr>
          <w:rFonts w:ascii="Arial Narrow" w:hAnsi="Arial Narrow"/>
          <w:sz w:val="24"/>
          <w:szCs w:val="24"/>
          <w:u w:val="single"/>
        </w:rPr>
        <w:tab/>
      </w:r>
      <w:r w:rsidRPr="00E71012">
        <w:rPr>
          <w:rFonts w:ascii="Arial Narrow" w:hAnsi="Arial Narrow"/>
          <w:sz w:val="24"/>
          <w:szCs w:val="24"/>
          <w:u w:val="single"/>
        </w:rPr>
        <w:tab/>
      </w:r>
      <w:r w:rsidRPr="00E71012">
        <w:rPr>
          <w:rFonts w:ascii="Arial Narrow" w:hAnsi="Arial Narrow"/>
          <w:sz w:val="24"/>
          <w:szCs w:val="24"/>
          <w:u w:val="single"/>
        </w:rPr>
        <w:tab/>
      </w:r>
      <w:r w:rsidRPr="00E71012">
        <w:rPr>
          <w:rFonts w:ascii="Arial Narrow" w:hAnsi="Arial Narrow"/>
          <w:sz w:val="24"/>
          <w:szCs w:val="24"/>
          <w:u w:val="single"/>
        </w:rPr>
        <w:tab/>
      </w:r>
    </w:p>
    <w:p w:rsidR="00A3267D" w:rsidRPr="00E71012" w:rsidRDefault="00A3267D" w:rsidP="00A3267D">
      <w:pPr>
        <w:pStyle w:val="Signature"/>
        <w:ind w:left="3600"/>
        <w:rPr>
          <w:rFonts w:ascii="Arial Narrow" w:hAnsi="Arial Narrow"/>
          <w:sz w:val="24"/>
          <w:szCs w:val="24"/>
        </w:rPr>
      </w:pPr>
      <w:r w:rsidRPr="00E71012">
        <w:rPr>
          <w:rFonts w:ascii="Arial Narrow" w:hAnsi="Arial Narrow"/>
          <w:sz w:val="24"/>
          <w:szCs w:val="24"/>
        </w:rPr>
        <w:t>Name:</w:t>
      </w:r>
    </w:p>
    <w:p w:rsidR="00A3267D" w:rsidRPr="00E71012" w:rsidRDefault="00A3267D" w:rsidP="00A3267D">
      <w:pPr>
        <w:pStyle w:val="Signature"/>
        <w:ind w:left="3600"/>
        <w:rPr>
          <w:rFonts w:ascii="Arial Narrow" w:hAnsi="Arial Narrow"/>
          <w:sz w:val="24"/>
          <w:szCs w:val="24"/>
        </w:rPr>
      </w:pPr>
      <w:r w:rsidRPr="00E71012">
        <w:rPr>
          <w:rFonts w:ascii="Arial Narrow" w:hAnsi="Arial Narrow"/>
          <w:sz w:val="24"/>
          <w:szCs w:val="24"/>
        </w:rPr>
        <w:t>Title:</w:t>
      </w:r>
    </w:p>
    <w:p w:rsidR="00A3267D" w:rsidRPr="00E71012" w:rsidRDefault="00A3267D" w:rsidP="00A3267D">
      <w:pPr>
        <w:spacing w:after="720"/>
        <w:ind w:firstLine="3600"/>
        <w:rPr>
          <w:rFonts w:ascii="Arial Narrow" w:hAnsi="Arial Narrow"/>
          <w:b/>
          <w:caps/>
          <w:szCs w:val="24"/>
        </w:rPr>
      </w:pPr>
    </w:p>
    <w:p w:rsidR="00A3267D" w:rsidRPr="00E71012" w:rsidRDefault="00A3267D" w:rsidP="00A3267D">
      <w:pPr>
        <w:spacing w:after="720"/>
        <w:ind w:firstLine="3600"/>
        <w:rPr>
          <w:rFonts w:ascii="Arial Narrow" w:hAnsi="Arial Narrow"/>
          <w:b/>
          <w:caps/>
          <w:szCs w:val="24"/>
        </w:rPr>
      </w:pPr>
      <w:r w:rsidRPr="00E71012">
        <w:rPr>
          <w:rFonts w:ascii="Arial Narrow" w:hAnsi="Arial Narrow"/>
          <w:b/>
          <w:caps/>
          <w:szCs w:val="24"/>
        </w:rPr>
        <w:t>Members</w:t>
      </w:r>
    </w:p>
    <w:p w:rsidR="00A3267D" w:rsidRPr="00E71012" w:rsidRDefault="00A3267D" w:rsidP="00A3267D">
      <w:pPr>
        <w:ind w:firstLine="360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________________________________________</w:t>
      </w:r>
    </w:p>
    <w:p w:rsidR="00A3267D" w:rsidRPr="00E71012" w:rsidRDefault="00A3267D" w:rsidP="00A3267D">
      <w:pPr>
        <w:spacing w:after="480"/>
        <w:ind w:firstLine="360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[_____________]</w:t>
      </w:r>
    </w:p>
    <w:p w:rsidR="00A3267D" w:rsidRPr="00E71012" w:rsidRDefault="00A3267D" w:rsidP="00A3267D">
      <w:pPr>
        <w:ind w:firstLine="360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_________________________________________</w:t>
      </w:r>
    </w:p>
    <w:p w:rsidR="00A3267D" w:rsidRPr="00E71012" w:rsidRDefault="00A3267D" w:rsidP="00A3267D">
      <w:pPr>
        <w:spacing w:after="480"/>
        <w:ind w:firstLine="3600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[_____________]</w:t>
      </w:r>
    </w:p>
    <w:p w:rsidR="00A3267D" w:rsidRPr="00E71012" w:rsidRDefault="00A3267D" w:rsidP="00A3267D">
      <w:pPr>
        <w:ind w:left="3600"/>
        <w:jc w:val="both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THE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RESEARCH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FOUNDATION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STATE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UNIVERSITY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NEW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YORK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bCs/>
          <w:szCs w:val="24"/>
        </w:rPr>
        <w:t>on</w:t>
      </w:r>
      <w:r w:rsidR="00C44768">
        <w:rPr>
          <w:rFonts w:ascii="Arial Narrow" w:hAnsi="Arial Narrow"/>
          <w:bCs/>
          <w:szCs w:val="24"/>
        </w:rPr>
        <w:t xml:space="preserve"> </w:t>
      </w:r>
      <w:r w:rsidRPr="00E71012">
        <w:rPr>
          <w:rFonts w:ascii="Arial Narrow" w:hAnsi="Arial Narrow"/>
          <w:bCs/>
          <w:szCs w:val="24"/>
        </w:rPr>
        <w:t>behalf</w:t>
      </w:r>
      <w:r w:rsidR="00C44768">
        <w:rPr>
          <w:rFonts w:ascii="Arial Narrow" w:hAnsi="Arial Narrow"/>
          <w:bCs/>
          <w:szCs w:val="24"/>
        </w:rPr>
        <w:t xml:space="preserve"> </w:t>
      </w:r>
      <w:r w:rsidRPr="00E71012">
        <w:rPr>
          <w:rFonts w:ascii="Arial Narrow" w:hAnsi="Arial Narrow"/>
          <w:bCs/>
          <w:szCs w:val="24"/>
        </w:rPr>
        <w:t>of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</w:rPr>
        <w:t>[_____________________________]</w:t>
      </w:r>
    </w:p>
    <w:p w:rsidR="00A3267D" w:rsidRPr="00E71012" w:rsidRDefault="00A3267D" w:rsidP="00A3267D">
      <w:pPr>
        <w:ind w:left="3600"/>
        <w:jc w:val="both"/>
        <w:rPr>
          <w:rFonts w:ascii="Arial Narrow" w:hAnsi="Arial Narrow"/>
          <w:szCs w:val="24"/>
        </w:rPr>
      </w:pPr>
    </w:p>
    <w:p w:rsidR="00A3267D" w:rsidRPr="00E71012" w:rsidRDefault="00A3267D" w:rsidP="00A3267D">
      <w:pPr>
        <w:ind w:left="3600"/>
        <w:jc w:val="both"/>
        <w:rPr>
          <w:rFonts w:ascii="Arial Narrow" w:hAnsi="Arial Narrow"/>
          <w:szCs w:val="24"/>
        </w:rPr>
      </w:pPr>
    </w:p>
    <w:p w:rsidR="00A3267D" w:rsidRPr="00E71012" w:rsidRDefault="00A3267D" w:rsidP="00A3267D">
      <w:pPr>
        <w:ind w:left="3600"/>
        <w:jc w:val="both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By:</w:t>
      </w:r>
      <w:r w:rsidR="00C44768">
        <w:rPr>
          <w:rFonts w:ascii="Arial Narrow" w:hAnsi="Arial Narrow"/>
          <w:szCs w:val="24"/>
        </w:rPr>
        <w:t xml:space="preserve"> </w:t>
      </w:r>
      <w:r w:rsidRPr="00E71012">
        <w:rPr>
          <w:rFonts w:ascii="Arial Narrow" w:hAnsi="Arial Narrow"/>
          <w:szCs w:val="24"/>
          <w:u w:val="single"/>
        </w:rPr>
        <w:tab/>
      </w:r>
      <w:r w:rsidRPr="00E71012">
        <w:rPr>
          <w:rFonts w:ascii="Arial Narrow" w:hAnsi="Arial Narrow"/>
          <w:szCs w:val="24"/>
          <w:u w:val="single"/>
        </w:rPr>
        <w:tab/>
      </w:r>
      <w:r w:rsidRPr="00E71012">
        <w:rPr>
          <w:rFonts w:ascii="Arial Narrow" w:hAnsi="Arial Narrow"/>
          <w:szCs w:val="24"/>
          <w:u w:val="single"/>
        </w:rPr>
        <w:tab/>
      </w:r>
      <w:r w:rsidRPr="00E71012">
        <w:rPr>
          <w:rFonts w:ascii="Arial Narrow" w:hAnsi="Arial Narrow"/>
          <w:szCs w:val="24"/>
          <w:u w:val="single"/>
        </w:rPr>
        <w:tab/>
      </w:r>
      <w:r w:rsidRPr="00E71012">
        <w:rPr>
          <w:rFonts w:ascii="Arial Narrow" w:hAnsi="Arial Narrow"/>
          <w:szCs w:val="24"/>
          <w:u w:val="single"/>
        </w:rPr>
        <w:tab/>
      </w:r>
      <w:r w:rsidRPr="00E71012">
        <w:rPr>
          <w:rFonts w:ascii="Arial Narrow" w:hAnsi="Arial Narrow"/>
          <w:szCs w:val="24"/>
          <w:u w:val="single"/>
        </w:rPr>
        <w:tab/>
      </w:r>
    </w:p>
    <w:p w:rsidR="00A3267D" w:rsidRPr="00E71012" w:rsidRDefault="00A3267D" w:rsidP="00A3267D">
      <w:pPr>
        <w:ind w:left="3600"/>
        <w:jc w:val="both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Name:</w:t>
      </w:r>
    </w:p>
    <w:p w:rsidR="00A3267D" w:rsidRPr="00E71012" w:rsidRDefault="00A3267D" w:rsidP="00A3267D">
      <w:pPr>
        <w:ind w:left="3600"/>
        <w:jc w:val="both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szCs w:val="24"/>
        </w:rPr>
        <w:t>Title:</w:t>
      </w:r>
    </w:p>
    <w:p w:rsidR="00A3267D" w:rsidRPr="00E71012" w:rsidRDefault="00A3267D" w:rsidP="00A3267D">
      <w:pPr>
        <w:suppressAutoHyphens/>
        <w:spacing w:after="480"/>
        <w:jc w:val="center"/>
        <w:rPr>
          <w:rFonts w:ascii="Arial Narrow" w:hAnsi="Arial Narrow"/>
          <w:b/>
          <w:szCs w:val="24"/>
        </w:rPr>
        <w:sectPr w:rsidR="00A3267D" w:rsidRPr="00E71012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267D" w:rsidRPr="00E71012" w:rsidRDefault="00A3267D" w:rsidP="00A3267D">
      <w:pPr>
        <w:suppressAutoHyphens/>
        <w:spacing w:after="480"/>
        <w:jc w:val="center"/>
        <w:rPr>
          <w:rFonts w:ascii="Arial Narrow" w:hAnsi="Arial Narrow"/>
          <w:szCs w:val="24"/>
        </w:rPr>
      </w:pPr>
      <w:r w:rsidRPr="00E71012">
        <w:rPr>
          <w:rFonts w:ascii="Arial Narrow" w:hAnsi="Arial Narrow"/>
          <w:b/>
          <w:szCs w:val="24"/>
        </w:rPr>
        <w:lastRenderedPageBreak/>
        <w:t>APPENDIX</w:t>
      </w:r>
      <w:r w:rsidR="00C44768">
        <w:rPr>
          <w:rFonts w:ascii="Arial Narrow" w:hAnsi="Arial Narrow"/>
          <w:b/>
          <w:szCs w:val="24"/>
        </w:rPr>
        <w:t xml:space="preserve"> </w:t>
      </w:r>
      <w:r w:rsidRPr="00E71012">
        <w:rPr>
          <w:rFonts w:ascii="Arial Narrow" w:hAnsi="Arial Narrow"/>
          <w:b/>
          <w:szCs w:val="24"/>
        </w:rPr>
        <w:t>A</w:t>
      </w:r>
    </w:p>
    <w:p w:rsidR="00A3267D" w:rsidRPr="00E71012" w:rsidRDefault="00A3267D" w:rsidP="00A3267D">
      <w:pPr>
        <w:suppressAutoHyphens/>
        <w:spacing w:after="480"/>
        <w:jc w:val="center"/>
        <w:outlineLvl w:val="0"/>
        <w:rPr>
          <w:rFonts w:ascii="Arial Narrow" w:hAnsi="Arial Narrow"/>
          <w:b/>
          <w:szCs w:val="24"/>
          <w:u w:val="single"/>
        </w:rPr>
      </w:pPr>
      <w:r w:rsidRPr="00E71012">
        <w:rPr>
          <w:rFonts w:ascii="Arial Narrow" w:hAnsi="Arial Narrow"/>
          <w:b/>
          <w:szCs w:val="24"/>
          <w:u w:val="single"/>
        </w:rPr>
        <w:t>MEMBER</w:t>
      </w:r>
      <w:r w:rsidR="00C44768">
        <w:rPr>
          <w:rFonts w:ascii="Arial Narrow" w:hAnsi="Arial Narrow"/>
          <w:b/>
          <w:szCs w:val="24"/>
          <w:u w:val="single"/>
        </w:rPr>
        <w:t xml:space="preserve"> </w:t>
      </w:r>
      <w:r w:rsidRPr="00E71012">
        <w:rPr>
          <w:rFonts w:ascii="Arial Narrow" w:hAnsi="Arial Narrow"/>
          <w:b/>
          <w:szCs w:val="24"/>
          <w:u w:val="single"/>
        </w:rPr>
        <w:t>AND</w:t>
      </w:r>
      <w:r w:rsidR="00C44768">
        <w:rPr>
          <w:rFonts w:ascii="Arial Narrow" w:hAnsi="Arial Narrow"/>
          <w:b/>
          <w:szCs w:val="24"/>
          <w:u w:val="single"/>
        </w:rPr>
        <w:t xml:space="preserve"> </w:t>
      </w:r>
      <w:r w:rsidRPr="00E71012">
        <w:rPr>
          <w:rFonts w:ascii="Arial Narrow" w:hAnsi="Arial Narrow"/>
          <w:b/>
          <w:szCs w:val="24"/>
          <w:u w:val="single"/>
        </w:rPr>
        <w:t>UNITS</w:t>
      </w:r>
      <w:r w:rsidR="00C44768">
        <w:rPr>
          <w:rFonts w:ascii="Arial Narrow" w:hAnsi="Arial Narrow"/>
          <w:b/>
          <w:szCs w:val="24"/>
          <w:u w:val="single"/>
        </w:rPr>
        <w:t xml:space="preserve"> </w:t>
      </w:r>
      <w:r w:rsidRPr="00E71012">
        <w:rPr>
          <w:rFonts w:ascii="Arial Narrow" w:hAnsi="Arial Narrow"/>
          <w:b/>
          <w:szCs w:val="24"/>
          <w:u w:val="single"/>
        </w:rPr>
        <w:t>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3267D" w:rsidRPr="00E71012" w:rsidTr="00E71012">
        <w:trPr>
          <w:trHeight w:val="728"/>
        </w:trPr>
        <w:tc>
          <w:tcPr>
            <w:tcW w:w="2394" w:type="dxa"/>
            <w:shd w:val="pct25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b/>
                <w:szCs w:val="24"/>
                <w:u w:val="single"/>
              </w:rPr>
            </w:pPr>
            <w:r w:rsidRPr="00E71012">
              <w:rPr>
                <w:rFonts w:ascii="Arial Narrow" w:hAnsi="Arial Narrow"/>
                <w:b/>
                <w:szCs w:val="24"/>
                <w:u w:val="single"/>
              </w:rPr>
              <w:t>Member</w:t>
            </w:r>
            <w:r w:rsidR="00C44768">
              <w:rPr>
                <w:rFonts w:ascii="Arial Narrow" w:hAnsi="Arial Narrow"/>
                <w:b/>
                <w:szCs w:val="24"/>
                <w:u w:val="single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  <w:u w:val="single"/>
              </w:rPr>
              <w:t>Name</w:t>
            </w:r>
          </w:p>
        </w:tc>
        <w:tc>
          <w:tcPr>
            <w:tcW w:w="2394" w:type="dxa"/>
            <w:shd w:val="pct25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b/>
                <w:szCs w:val="24"/>
                <w:u w:val="single"/>
              </w:rPr>
            </w:pPr>
            <w:r w:rsidRPr="00E71012">
              <w:rPr>
                <w:rFonts w:ascii="Arial Narrow" w:hAnsi="Arial Narrow"/>
                <w:b/>
                <w:szCs w:val="24"/>
                <w:u w:val="single"/>
              </w:rPr>
              <w:t>Address</w:t>
            </w:r>
          </w:p>
        </w:tc>
        <w:tc>
          <w:tcPr>
            <w:tcW w:w="2394" w:type="dxa"/>
            <w:shd w:val="pct25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b/>
                <w:szCs w:val="24"/>
                <w:u w:val="single"/>
              </w:rPr>
            </w:pPr>
            <w:r w:rsidRPr="00E71012">
              <w:rPr>
                <w:rFonts w:ascii="Arial Narrow" w:hAnsi="Arial Narrow"/>
                <w:b/>
                <w:szCs w:val="24"/>
                <w:u w:val="single"/>
              </w:rPr>
              <w:t>Number/Type</w:t>
            </w:r>
            <w:r w:rsidR="00C44768">
              <w:rPr>
                <w:rFonts w:ascii="Arial Narrow" w:hAnsi="Arial Narrow"/>
                <w:b/>
                <w:szCs w:val="24"/>
                <w:u w:val="single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  <w:u w:val="single"/>
              </w:rPr>
              <w:t>of</w:t>
            </w:r>
            <w:r w:rsidR="00C44768">
              <w:rPr>
                <w:rFonts w:ascii="Arial Narrow" w:hAnsi="Arial Narrow"/>
                <w:b/>
                <w:szCs w:val="24"/>
                <w:u w:val="single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  <w:u w:val="single"/>
              </w:rPr>
              <w:t>Units</w:t>
            </w:r>
          </w:p>
        </w:tc>
        <w:tc>
          <w:tcPr>
            <w:tcW w:w="2394" w:type="dxa"/>
            <w:shd w:val="pct25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b/>
                <w:szCs w:val="24"/>
                <w:u w:val="single"/>
              </w:rPr>
            </w:pPr>
            <w:r w:rsidRPr="00E71012">
              <w:rPr>
                <w:rFonts w:ascii="Arial Narrow" w:hAnsi="Arial Narrow"/>
                <w:b/>
                <w:szCs w:val="24"/>
                <w:u w:val="single"/>
              </w:rPr>
              <w:t>Capital</w:t>
            </w:r>
            <w:r w:rsidR="00C44768">
              <w:rPr>
                <w:rFonts w:ascii="Arial Narrow" w:hAnsi="Arial Narrow"/>
                <w:b/>
                <w:szCs w:val="24"/>
                <w:u w:val="single"/>
              </w:rPr>
              <w:t xml:space="preserve"> </w:t>
            </w:r>
            <w:r w:rsidRPr="00E71012">
              <w:rPr>
                <w:rFonts w:ascii="Arial Narrow" w:hAnsi="Arial Narrow"/>
                <w:b/>
                <w:szCs w:val="24"/>
                <w:u w:val="single"/>
              </w:rPr>
              <w:t>Contribution</w:t>
            </w:r>
          </w:p>
        </w:tc>
      </w:tr>
      <w:tr w:rsidR="00A3267D" w:rsidRPr="00E71012" w:rsidTr="00E71012">
        <w:trPr>
          <w:trHeight w:val="1032"/>
        </w:trPr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THE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RESEARCH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</w:p>
          <w:p w:rsidR="00A3267D" w:rsidRPr="00E71012" w:rsidRDefault="00A3267D" w:rsidP="00E71012">
            <w:pPr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FOUNDATION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OF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</w:p>
          <w:p w:rsidR="00A3267D" w:rsidRPr="00E71012" w:rsidRDefault="00A3267D" w:rsidP="00E71012">
            <w:pPr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STATE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UNIVERSITY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</w:p>
          <w:p w:rsidR="00A3267D" w:rsidRPr="00E71012" w:rsidRDefault="00A3267D" w:rsidP="00E71012">
            <w:pPr>
              <w:rPr>
                <w:rFonts w:ascii="Arial Narrow" w:hAnsi="Arial Narrow"/>
                <w:bCs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OF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NEW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YORK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Cs/>
                <w:szCs w:val="24"/>
              </w:rPr>
              <w:t>on</w:t>
            </w:r>
            <w:r w:rsidR="00C44768">
              <w:rPr>
                <w:rFonts w:ascii="Arial Narrow" w:hAnsi="Arial Narrow"/>
                <w:bCs/>
                <w:szCs w:val="24"/>
              </w:rPr>
              <w:t xml:space="preserve"> </w:t>
            </w:r>
          </w:p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bCs/>
                <w:szCs w:val="24"/>
              </w:rPr>
              <w:t>behalf</w:t>
            </w:r>
            <w:r w:rsidR="00C44768">
              <w:rPr>
                <w:rFonts w:ascii="Arial Narrow" w:hAnsi="Arial Narrow"/>
                <w:bCs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bCs/>
                <w:szCs w:val="24"/>
              </w:rPr>
              <w:t>of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[__________]</w:t>
            </w: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  <w:r w:rsidRPr="00E71012">
              <w:rPr>
                <w:rFonts w:ascii="Arial Narrow" w:hAnsi="Arial Narrow"/>
                <w:szCs w:val="24"/>
              </w:rPr>
              <w:t>[___________]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Class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A</w:t>
            </w:r>
            <w:r w:rsidR="00C44768">
              <w:rPr>
                <w:rFonts w:ascii="Arial Narrow" w:hAnsi="Arial Narrow"/>
                <w:szCs w:val="24"/>
              </w:rPr>
              <w:t xml:space="preserve"> </w:t>
            </w:r>
            <w:r w:rsidRPr="00E71012">
              <w:rPr>
                <w:rFonts w:ascii="Arial Narrow" w:hAnsi="Arial Narrow"/>
                <w:szCs w:val="24"/>
              </w:rPr>
              <w:t>Units</w:t>
            </w: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</w:tr>
      <w:tr w:rsidR="00A3267D" w:rsidRPr="00E71012" w:rsidTr="00E71012">
        <w:trPr>
          <w:trHeight w:val="1032"/>
        </w:trPr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</w:tr>
      <w:tr w:rsidR="00A3267D" w:rsidRPr="00E71012" w:rsidTr="00E71012">
        <w:trPr>
          <w:trHeight w:val="1032"/>
        </w:trPr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</w:tr>
      <w:tr w:rsidR="00A3267D" w:rsidRPr="00E71012" w:rsidTr="00E71012">
        <w:trPr>
          <w:trHeight w:val="1032"/>
        </w:trPr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</w:tr>
      <w:tr w:rsidR="00A3267D" w:rsidRPr="00E71012" w:rsidTr="00E71012">
        <w:trPr>
          <w:trHeight w:val="1032"/>
        </w:trPr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:rsidR="00A3267D" w:rsidRPr="00E71012" w:rsidRDefault="00A3267D" w:rsidP="00E71012">
            <w:pPr>
              <w:suppressAutoHyphens/>
              <w:spacing w:after="480"/>
              <w:outlineLvl w:val="0"/>
              <w:rPr>
                <w:rFonts w:ascii="Arial Narrow" w:hAnsi="Arial Narrow"/>
                <w:szCs w:val="24"/>
              </w:rPr>
            </w:pPr>
          </w:p>
        </w:tc>
      </w:tr>
    </w:tbl>
    <w:p w:rsidR="00F60F53" w:rsidRPr="00E71012" w:rsidRDefault="00F60F53">
      <w:pPr>
        <w:rPr>
          <w:rFonts w:ascii="Arial Narrow" w:hAnsi="Arial Narrow"/>
        </w:rPr>
      </w:pPr>
    </w:p>
    <w:sectPr w:rsidR="00F60F53" w:rsidRPr="00E7101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68" w:rsidRDefault="00C44768">
      <w:r>
        <w:separator/>
      </w:r>
    </w:p>
  </w:endnote>
  <w:endnote w:type="continuationSeparator" w:id="0">
    <w:p w:rsidR="00C44768" w:rsidRDefault="00C4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D81D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68" w:rsidRDefault="00C44768">
                          <w:pPr>
                            <w:pStyle w:val="MacPacTrailer"/>
                          </w:pPr>
                          <w:r>
                            <w:t>14723161.1</w:t>
                          </w:r>
                        </w:p>
                        <w:p w:rsidR="00C44768" w:rsidRDefault="00C44768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01.6pt;height:20.1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ZirAIAAKk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" filled="f" stroked="f">
              <v:textbox inset="0,0,0,0">
                <w:txbxContent>
                  <w:p w:rsidR="00C44768" w:rsidRDefault="00C44768">
                    <w:pPr>
                      <w:pStyle w:val="MacPacTrailer"/>
                    </w:pPr>
                    <w:r>
                      <w:t>14723161.1</w:t>
                    </w:r>
                  </w:p>
                  <w:p w:rsidR="00C44768" w:rsidRDefault="00C44768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D81D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68" w:rsidRDefault="00C44768">
                          <w:pPr>
                            <w:pStyle w:val="MacPacTrailer"/>
                          </w:pPr>
                          <w:r>
                            <w:t>14723161.1</w:t>
                          </w:r>
                        </w:p>
                        <w:p w:rsidR="00C44768" w:rsidRDefault="00C44768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" filled="f" stroked="f">
              <v:textbox inset="0,0,0,0">
                <w:txbxContent>
                  <w:p w:rsidR="00C44768" w:rsidRDefault="00C44768">
                    <w:pPr>
                      <w:pStyle w:val="MacPacTrailer"/>
                    </w:pPr>
                    <w:r>
                      <w:t>14723161.1</w:t>
                    </w:r>
                  </w:p>
                  <w:p w:rsidR="00C44768" w:rsidRDefault="00C44768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C44768">
    <w:pPr>
      <w:pStyle w:val="Footer"/>
      <w:jc w:val="center"/>
      <w:rPr>
        <w:szCs w:val="24"/>
      </w:rPr>
    </w:pPr>
    <w:r>
      <w:rPr>
        <w:szCs w:val="24"/>
      </w:rPr>
      <w:t xml:space="preserve">- </w:t>
    </w: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 PAGE </w:instrText>
    </w:r>
    <w:r>
      <w:rPr>
        <w:rStyle w:val="PageNumber"/>
        <w:szCs w:val="24"/>
      </w:rPr>
      <w:fldChar w:fldCharType="separate"/>
    </w:r>
    <w:r w:rsidR="00D81D5B">
      <w:rPr>
        <w:rStyle w:val="PageNumber"/>
        <w:noProof/>
        <w:szCs w:val="24"/>
      </w:rPr>
      <w:t>19</w:t>
    </w:r>
    <w:r>
      <w:rPr>
        <w:rStyle w:val="PageNumber"/>
        <w:szCs w:val="24"/>
      </w:rPr>
      <w:fldChar w:fldCharType="end"/>
    </w:r>
    <w:r>
      <w:rPr>
        <w:rStyle w:val="PageNumber"/>
        <w:szCs w:val="24"/>
      </w:rPr>
      <w:t xml:space="preserve"> -</w:t>
    </w:r>
  </w:p>
  <w:p w:rsidR="00C44768" w:rsidRPr="00FC2EFB" w:rsidRDefault="00D81D5B">
    <w:pPr>
      <w:pStyle w:val="Foo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68" w:rsidRDefault="00C44768">
                          <w:pPr>
                            <w:pStyle w:val="MacPacTrailer"/>
                          </w:pPr>
                          <w:r>
                            <w:t>14723161.1</w:t>
                          </w:r>
                        </w:p>
                        <w:p w:rsidR="00C44768" w:rsidRDefault="00C44768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" filled="f" stroked="f">
              <v:textbox inset="0,0,0,0">
                <w:txbxContent>
                  <w:p w:rsidR="00C44768" w:rsidRDefault="00C44768">
                    <w:pPr>
                      <w:pStyle w:val="MacPacTrailer"/>
                    </w:pPr>
                    <w:r>
                      <w:t>14723161.1</w:t>
                    </w:r>
                  </w:p>
                  <w:p w:rsidR="00C44768" w:rsidRDefault="00C44768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Pr="00FC2EFB" w:rsidRDefault="00D81D5B">
    <w:pPr>
      <w:pStyle w:val="Foo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68" w:rsidRDefault="00C44768">
                          <w:pPr>
                            <w:pStyle w:val="MacPacTrailer"/>
                          </w:pPr>
                          <w:r>
                            <w:t>14723161.1</w:t>
                          </w:r>
                        </w:p>
                        <w:p w:rsidR="00C44768" w:rsidRDefault="00C44768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flrgIAALA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" filled="f" stroked="f">
              <v:textbox inset="0,0,0,0">
                <w:txbxContent>
                  <w:p w:rsidR="00C44768" w:rsidRDefault="00C44768">
                    <w:pPr>
                      <w:pStyle w:val="MacPacTrailer"/>
                    </w:pPr>
                    <w:r>
                      <w:t>14723161.1</w:t>
                    </w:r>
                  </w:p>
                  <w:p w:rsidR="00C44768" w:rsidRDefault="00C44768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Pr="00FC2EFB" w:rsidRDefault="00D81D5B">
    <w:pPr>
      <w:pStyle w:val="Foo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68" w:rsidRDefault="00C44768">
                          <w:pPr>
                            <w:pStyle w:val="MacPacTrailer"/>
                          </w:pPr>
                          <w:r>
                            <w:t>14723161.1</w:t>
                          </w:r>
                        </w:p>
                        <w:p w:rsidR="00C44768" w:rsidRDefault="00C44768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0;width:201.6pt;height:2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hgrw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" filled="f" stroked="f">
              <v:textbox inset="0,0,0,0">
                <w:txbxContent>
                  <w:p w:rsidR="00C44768" w:rsidRDefault="00C44768">
                    <w:pPr>
                      <w:pStyle w:val="MacPacTrailer"/>
                    </w:pPr>
                    <w:r>
                      <w:t>14723161.1</w:t>
                    </w:r>
                  </w:p>
                  <w:p w:rsidR="00C44768" w:rsidRDefault="00C44768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Pr="00FC2EFB" w:rsidRDefault="00D81D5B">
    <w:pPr>
      <w:pStyle w:val="Foo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68" w:rsidRDefault="00C44768">
                          <w:pPr>
                            <w:pStyle w:val="MacPacTrailer"/>
                          </w:pPr>
                          <w:r>
                            <w:t>14723161.1</w:t>
                          </w:r>
                        </w:p>
                        <w:p w:rsidR="00C44768" w:rsidRDefault="00C44768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201.6pt;height:20.1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16IrwIAALA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" filled="f" stroked="f">
              <v:textbox inset="0,0,0,0">
                <w:txbxContent>
                  <w:p w:rsidR="00C44768" w:rsidRDefault="00C44768">
                    <w:pPr>
                      <w:pStyle w:val="MacPacTrailer"/>
                    </w:pPr>
                    <w:r>
                      <w:t>14723161.1</w:t>
                    </w:r>
                  </w:p>
                  <w:p w:rsidR="00C44768" w:rsidRDefault="00C44768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68" w:rsidRDefault="00C44768">
      <w:r>
        <w:separator/>
      </w:r>
    </w:p>
  </w:footnote>
  <w:footnote w:type="continuationSeparator" w:id="0">
    <w:p w:rsidR="00C44768" w:rsidRDefault="00C4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C44768">
    <w:pPr>
      <w:pStyle w:val="Header"/>
      <w:jc w:val="center"/>
    </w:pPr>
  </w:p>
  <w:p w:rsidR="00C44768" w:rsidRDefault="00C4476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C447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C4476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C4476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68" w:rsidRDefault="00C447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C40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26EC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FC7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2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C2CE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1AEF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CD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6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8E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26C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BE6B6E2"/>
    <w:lvl w:ilvl="0">
      <w:start w:val="1"/>
      <w:numFmt w:val="decimal"/>
      <w:suff w:val="space"/>
      <w:lvlText w:val="ARTICLE %1 - "/>
      <w:lvlJc w:val="center"/>
      <w:pPr>
        <w:ind w:left="720" w:hanging="432"/>
      </w:pPr>
      <w:rPr>
        <w:rFonts w:ascii="Times New Roman" w:hAnsi="Times New Roman" w:cs="Times New Roman"/>
        <w:b/>
        <w:bCs/>
        <w:i w:val="0"/>
        <w:iCs w:val="0"/>
        <w:caps/>
        <w:spacing w:val="0"/>
        <w:sz w:val="24"/>
        <w:szCs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pacing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2031"/>
        </w:tabs>
        <w:ind w:left="2031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ascii="Batang" w:eastAsia="Batang" w:cs="Batang"/>
        <w:spacing w:val="0"/>
        <w:sz w:val="24"/>
        <w:szCs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4"/>
        <w:szCs w:val="24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ascii="Batang" w:eastAsia="Batang" w:cs="Batang"/>
        <w:spacing w:val="0"/>
        <w:sz w:val="24"/>
        <w:szCs w:val="24"/>
      </w:rPr>
    </w:lvl>
  </w:abstractNum>
  <w:abstractNum w:abstractNumId="11" w15:restartNumberingAfterBreak="0">
    <w:nsid w:val="05DE43A9"/>
    <w:multiLevelType w:val="hybridMultilevel"/>
    <w:tmpl w:val="5A7A6978"/>
    <w:lvl w:ilvl="0" w:tplc="980C8BB6">
      <w:start w:val="1"/>
      <w:numFmt w:val="lowerLetter"/>
      <w:lvlText w:val="(%1)"/>
      <w:lvlJc w:val="left"/>
      <w:pPr>
        <w:ind w:left="1440" w:hanging="360"/>
      </w:pPr>
      <w:rPr>
        <w:rFonts w:eastAsia="Arial Unicode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02D4AB3"/>
    <w:multiLevelType w:val="multilevel"/>
    <w:tmpl w:val="655E1D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A720F6"/>
    <w:multiLevelType w:val="hybridMultilevel"/>
    <w:tmpl w:val="6554DFD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15423DA0"/>
    <w:multiLevelType w:val="multilevel"/>
    <w:tmpl w:val="B664B3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89301BA"/>
    <w:multiLevelType w:val="multilevel"/>
    <w:tmpl w:val="6898F7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8A470C8"/>
    <w:multiLevelType w:val="multilevel"/>
    <w:tmpl w:val="F01870C8"/>
    <w:lvl w:ilvl="0">
      <w:start w:val="1"/>
      <w:numFmt w:val="decimal"/>
      <w:pStyle w:val="TOC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censeTextunderHeading2"/>
      <w:lvlText w:val="%1.%2."/>
      <w:lvlJc w:val="left"/>
      <w:pPr>
        <w:tabs>
          <w:tab w:val="num" w:pos="1170"/>
        </w:tabs>
        <w:ind w:left="196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LicenseTextunderHeading3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8F45B4C"/>
    <w:multiLevelType w:val="multilevel"/>
    <w:tmpl w:val="4296F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A9E252D"/>
    <w:multiLevelType w:val="multilevel"/>
    <w:tmpl w:val="C856F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8C80339"/>
    <w:multiLevelType w:val="multilevel"/>
    <w:tmpl w:val="EB5A9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9786CDE"/>
    <w:multiLevelType w:val="hybridMultilevel"/>
    <w:tmpl w:val="6DA82A7A"/>
    <w:lvl w:ilvl="0" w:tplc="FFFFFFFF">
      <w:start w:val="2"/>
      <w:numFmt w:val="lowerLetter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2" w:tplc="FFFFFFFF">
      <w:start w:val="1"/>
      <w:numFmt w:val="lowerRoman"/>
      <w:lvlText w:val="(%3)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 w:tplc="FFFFFFFF">
      <w:start w:val="1"/>
      <w:numFmt w:val="upperLetter"/>
      <w:lvlText w:val="(%4)"/>
      <w:lvlJc w:val="left"/>
      <w:pPr>
        <w:tabs>
          <w:tab w:val="num" w:pos="4140"/>
        </w:tabs>
        <w:ind w:left="414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 w15:restartNumberingAfterBreak="0">
    <w:nsid w:val="3E1457EA"/>
    <w:multiLevelType w:val="multilevel"/>
    <w:tmpl w:val="23D86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0CA5092"/>
    <w:multiLevelType w:val="hybridMultilevel"/>
    <w:tmpl w:val="78084EF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A84D88"/>
    <w:multiLevelType w:val="multilevel"/>
    <w:tmpl w:val="C90685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CEA62EC"/>
    <w:multiLevelType w:val="multilevel"/>
    <w:tmpl w:val="8F8C8254"/>
    <w:lvl w:ilvl="0">
      <w:start w:val="1"/>
      <w:numFmt w:val="upperRoman"/>
      <w:pStyle w:val="Heading1"/>
      <w:suff w:val="nothing"/>
      <w:lvlText w:val="ARTIC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800"/>
        </w:tabs>
        <w:ind w:left="360" w:firstLine="720"/>
      </w:pPr>
      <w:rPr>
        <w:rFonts w:ascii="Times New Roman Bold" w:hAnsi="Times New Roman Bold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530D5125"/>
    <w:multiLevelType w:val="hybridMultilevel"/>
    <w:tmpl w:val="B25278AE"/>
    <w:lvl w:ilvl="0" w:tplc="6F7A291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5322169F"/>
    <w:multiLevelType w:val="multilevel"/>
    <w:tmpl w:val="EEA6F4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0"/>
        </w:tabs>
        <w:ind w:left="1584" w:hanging="504"/>
      </w:pPr>
      <w:rPr>
        <w:rFonts w:cs="Times New Roman" w:hint="default"/>
        <w:i w:val="0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1728" w:hanging="14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22"/>
  </w:num>
  <w:num w:numId="3">
    <w:abstractNumId w:val="16"/>
  </w:num>
  <w:num w:numId="4">
    <w:abstractNumId w:val="17"/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</w:num>
  <w:num w:numId="23">
    <w:abstractNumId w:val="15"/>
  </w:num>
  <w:num w:numId="24">
    <w:abstractNumId w:val="14"/>
  </w:num>
  <w:num w:numId="25">
    <w:abstractNumId w:val="18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9"/>
  </w:num>
  <w:num w:numId="30">
    <w:abstractNumId w:val="20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D"/>
    <w:rsid w:val="00047BD9"/>
    <w:rsid w:val="00A3267D"/>
    <w:rsid w:val="00C44768"/>
    <w:rsid w:val="00D46EF9"/>
    <w:rsid w:val="00D81D5B"/>
    <w:rsid w:val="00E71012"/>
    <w:rsid w:val="00F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404E618-9301-42E2-B059-0A3C6A4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67D"/>
    <w:pPr>
      <w:numPr>
        <w:numId w:val="1"/>
      </w:numPr>
      <w:spacing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67D"/>
    <w:pPr>
      <w:numPr>
        <w:ilvl w:val="1"/>
        <w:numId w:val="1"/>
      </w:numPr>
      <w:spacing w:after="24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7D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3267D"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3267D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3267D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3267D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3267D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A3267D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267D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A3267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A3267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A3267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3267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3267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3267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3267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267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A32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6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326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67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3267D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A3267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A3267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A3267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FootnoteReference">
    <w:name w:val="footnote reference"/>
    <w:semiHidden/>
    <w:rsid w:val="00A3267D"/>
    <w:rPr>
      <w:rFonts w:ascii="Times New Roman" w:hAnsi="Times New Roman" w:cs="Times New Roman"/>
      <w:u w:val="none"/>
      <w:vertAlign w:val="superscript"/>
    </w:rPr>
  </w:style>
  <w:style w:type="character" w:styleId="PageNumber">
    <w:name w:val="page number"/>
    <w:basedOn w:val="DefaultParagraphFont"/>
    <w:rsid w:val="00A3267D"/>
  </w:style>
  <w:style w:type="paragraph" w:customStyle="1" w:styleId="MacPacTrailer">
    <w:name w:val="MacPac Trailer"/>
    <w:rsid w:val="00A3267D"/>
    <w:pPr>
      <w:widowControl w:val="0"/>
      <w:spacing w:after="0" w:line="160" w:lineRule="exact"/>
    </w:pPr>
    <w:rPr>
      <w:rFonts w:ascii="Times New Roman" w:eastAsia="Times New Roman" w:hAnsi="Times New Roman" w:cs="Times New Roman"/>
      <w:sz w:val="14"/>
    </w:rPr>
  </w:style>
  <w:style w:type="paragraph" w:styleId="BalloonText">
    <w:name w:val="Balloon Text"/>
    <w:basedOn w:val="Normal"/>
    <w:link w:val="BalloonTextChar"/>
    <w:uiPriority w:val="99"/>
    <w:rsid w:val="00A3267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267D"/>
    <w:rPr>
      <w:rFonts w:ascii="Tahoma" w:eastAsia="Times New Roman" w:hAnsi="Tahoma" w:cs="Times New Roman"/>
      <w:sz w:val="16"/>
      <w:szCs w:val="16"/>
    </w:rPr>
  </w:style>
  <w:style w:type="paragraph" w:styleId="Signature">
    <w:name w:val="Signature"/>
    <w:basedOn w:val="Normal"/>
    <w:link w:val="SignatureChar"/>
    <w:rsid w:val="00A3267D"/>
    <w:pPr>
      <w:ind w:left="4320"/>
      <w:jc w:val="both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rsid w:val="00A3267D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A32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A326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3267D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326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3267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A3267D"/>
    <w:pPr>
      <w:ind w:left="720"/>
      <w:contextualSpacing/>
    </w:pPr>
    <w:rPr>
      <w:szCs w:val="24"/>
    </w:rPr>
  </w:style>
  <w:style w:type="paragraph" w:customStyle="1" w:styleId="InsideAddress">
    <w:name w:val="Inside Address"/>
    <w:basedOn w:val="Normal"/>
    <w:uiPriority w:val="99"/>
    <w:semiHidden/>
    <w:rsid w:val="00A3267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A3267D"/>
    <w:pPr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CommentReference">
    <w:name w:val="annotation reference"/>
    <w:basedOn w:val="DefaultParagraphFont"/>
    <w:uiPriority w:val="99"/>
    <w:rsid w:val="00A32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267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67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2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26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rsid w:val="00A3267D"/>
    <w:pPr>
      <w:tabs>
        <w:tab w:val="left" w:pos="4320"/>
      </w:tabs>
      <w:ind w:left="4320" w:right="-360" w:hanging="4320"/>
    </w:pPr>
    <w:rPr>
      <w:sz w:val="32"/>
      <w:szCs w:val="24"/>
    </w:rPr>
  </w:style>
  <w:style w:type="paragraph" w:customStyle="1" w:styleId="LicenseTextunderHeading1">
    <w:name w:val="License Text (under Heading 1)"/>
    <w:basedOn w:val="LicenseText"/>
    <w:uiPriority w:val="99"/>
    <w:rsid w:val="00A3267D"/>
    <w:pPr>
      <w:ind w:left="360"/>
    </w:pPr>
  </w:style>
  <w:style w:type="paragraph" w:customStyle="1" w:styleId="LicenseText">
    <w:name w:val="License Text"/>
    <w:basedOn w:val="NoSpacing"/>
    <w:uiPriority w:val="99"/>
    <w:rsid w:val="00A3267D"/>
    <w:pPr>
      <w:spacing w:after="120" w:line="276" w:lineRule="auto"/>
      <w:jc w:val="both"/>
    </w:pPr>
    <w:rPr>
      <w:rFonts w:ascii="Cambria" w:hAnsi="Cambria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A3267D"/>
    <w:pPr>
      <w:numPr>
        <w:numId w:val="3"/>
      </w:numPr>
      <w:tabs>
        <w:tab w:val="clear" w:pos="0"/>
        <w:tab w:val="left" w:pos="630"/>
        <w:tab w:val="right" w:leader="dot" w:pos="9350"/>
      </w:tabs>
      <w:spacing w:after="100"/>
      <w:ind w:left="0" w:firstLine="0"/>
    </w:pPr>
    <w:rPr>
      <w:szCs w:val="24"/>
    </w:rPr>
  </w:style>
  <w:style w:type="character" w:styleId="Hyperlink">
    <w:name w:val="Hyperlink"/>
    <w:basedOn w:val="DefaultParagraphFont"/>
    <w:uiPriority w:val="99"/>
    <w:rsid w:val="00A3267D"/>
    <w:rPr>
      <w:rFonts w:cs="Times New Roman"/>
      <w:color w:val="0000FF"/>
      <w:u w:val="single"/>
    </w:rPr>
  </w:style>
  <w:style w:type="paragraph" w:customStyle="1" w:styleId="LicenseHeading1">
    <w:name w:val="License Heading 1"/>
    <w:basedOn w:val="LicenseText"/>
    <w:link w:val="LicenseHeading1Char"/>
    <w:uiPriority w:val="99"/>
    <w:rsid w:val="00A3267D"/>
    <w:pPr>
      <w:keepNext/>
      <w:tabs>
        <w:tab w:val="num" w:pos="0"/>
        <w:tab w:val="num" w:pos="432"/>
      </w:tabs>
      <w:spacing w:before="240" w:after="240"/>
      <w:ind w:left="360" w:hanging="360"/>
    </w:pPr>
    <w:rPr>
      <w:b/>
    </w:rPr>
  </w:style>
  <w:style w:type="character" w:customStyle="1" w:styleId="LicenseHeading1Char">
    <w:name w:val="License Heading 1 Char"/>
    <w:basedOn w:val="NoSpacingChar"/>
    <w:link w:val="LicenseHeading1"/>
    <w:uiPriority w:val="99"/>
    <w:locked/>
    <w:rsid w:val="00A3267D"/>
    <w:rPr>
      <w:rFonts w:ascii="Cambria" w:eastAsia="Calibri" w:hAnsi="Cambria" w:cs="Times New Roman"/>
      <w:b/>
      <w:sz w:val="24"/>
      <w:szCs w:val="24"/>
    </w:rPr>
  </w:style>
  <w:style w:type="paragraph" w:customStyle="1" w:styleId="LicenseHeading2">
    <w:name w:val="License Heading 2"/>
    <w:basedOn w:val="Normal"/>
    <w:uiPriority w:val="99"/>
    <w:rsid w:val="00A3267D"/>
    <w:pPr>
      <w:tabs>
        <w:tab w:val="num" w:pos="1170"/>
      </w:tabs>
      <w:spacing w:after="120" w:line="276" w:lineRule="auto"/>
      <w:ind w:left="1962" w:hanging="432"/>
      <w:jc w:val="both"/>
    </w:pPr>
    <w:rPr>
      <w:rFonts w:ascii="Cambria" w:eastAsia="Calibri" w:hAnsi="Cambria"/>
      <w:szCs w:val="24"/>
    </w:rPr>
  </w:style>
  <w:style w:type="paragraph" w:customStyle="1" w:styleId="LicenseTextunderHeading2">
    <w:name w:val="License Text (under Heading 2)"/>
    <w:basedOn w:val="LicenseText"/>
    <w:uiPriority w:val="99"/>
    <w:rsid w:val="00A3267D"/>
    <w:pPr>
      <w:numPr>
        <w:ilvl w:val="1"/>
        <w:numId w:val="3"/>
      </w:numPr>
      <w:tabs>
        <w:tab w:val="clear" w:pos="1170"/>
      </w:tabs>
      <w:ind w:left="1080" w:firstLine="0"/>
    </w:pPr>
    <w:rPr>
      <w:bCs/>
      <w:color w:val="000000"/>
    </w:rPr>
  </w:style>
  <w:style w:type="paragraph" w:customStyle="1" w:styleId="LicenseHeading3">
    <w:name w:val="License Heading 3"/>
    <w:basedOn w:val="LicenseHeading2"/>
    <w:uiPriority w:val="99"/>
    <w:rsid w:val="00A3267D"/>
    <w:pPr>
      <w:numPr>
        <w:ilvl w:val="2"/>
      </w:numPr>
      <w:tabs>
        <w:tab w:val="num" w:pos="1170"/>
        <w:tab w:val="left" w:pos="1560"/>
      </w:tabs>
      <w:ind w:left="1962" w:hanging="432"/>
    </w:pPr>
  </w:style>
  <w:style w:type="paragraph" w:customStyle="1" w:styleId="LicenseTextunderHeading3">
    <w:name w:val="License Text (under Heading 3)"/>
    <w:basedOn w:val="LicenseText"/>
    <w:uiPriority w:val="99"/>
    <w:rsid w:val="00A3267D"/>
    <w:pPr>
      <w:numPr>
        <w:ilvl w:val="2"/>
        <w:numId w:val="3"/>
      </w:numPr>
      <w:tabs>
        <w:tab w:val="clear" w:pos="0"/>
      </w:tabs>
      <w:ind w:left="1560" w:firstLine="0"/>
    </w:pPr>
  </w:style>
  <w:style w:type="paragraph" w:customStyle="1" w:styleId="LicenseSectionTitle">
    <w:name w:val="License Section Title"/>
    <w:basedOn w:val="NoSpacing"/>
    <w:uiPriority w:val="99"/>
    <w:rsid w:val="00A3267D"/>
    <w:pPr>
      <w:spacing w:after="240" w:line="276" w:lineRule="auto"/>
      <w:jc w:val="center"/>
    </w:pPr>
    <w:rPr>
      <w:rFonts w:ascii="Cambria" w:hAnsi="Cambria"/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3267D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267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267D"/>
    <w:pPr>
      <w:spacing w:after="120" w:line="480" w:lineRule="auto"/>
      <w:ind w:left="36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267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326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3267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12957</Words>
  <Characters>73858</Characters>
  <Application>Microsoft Office Word</Application>
  <DocSecurity>4</DocSecurity>
  <Lines>615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86642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Sidarous, Nadia</cp:lastModifiedBy>
  <cp:revision>2</cp:revision>
  <dcterms:created xsi:type="dcterms:W3CDTF">2015-09-10T15:24:00Z</dcterms:created>
  <dcterms:modified xsi:type="dcterms:W3CDTF">2015-09-10T15:24:00Z</dcterms:modified>
</cp:coreProperties>
</file>